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right="0"/>
        <w:jc w:val="both"/>
        <w:textAlignment w:val="auto"/>
        <w:rPr>
          <w:rFonts w:hint="default" w:ascii="黑体" w:hAnsi="黑体" w:eastAsia="黑体" w:cs="黑体"/>
          <w:i w:val="0"/>
          <w:iCs w:val="0"/>
          <w:caps w:val="0"/>
          <w:color w:val="auto"/>
          <w:spacing w:val="0"/>
          <w:kern w:val="0"/>
          <w:sz w:val="32"/>
          <w:szCs w:val="32"/>
          <w:shd w:val="clear" w:fill="FFFFFF"/>
          <w:lang w:val="en-US" w:eastAsia="zh-CN" w:bidi="ar"/>
        </w:rPr>
      </w:pPr>
      <w:bookmarkStart w:id="8" w:name="_GoBack"/>
      <w:bookmarkEnd w:id="8"/>
      <w:r>
        <w:rPr>
          <w:rFonts w:hint="eastAsia" w:ascii="黑体" w:hAnsi="黑体" w:eastAsia="黑体" w:cs="黑体"/>
          <w:i w:val="0"/>
          <w:iCs w:val="0"/>
          <w:caps w:val="0"/>
          <w:color w:val="auto"/>
          <w:spacing w:val="0"/>
          <w:kern w:val="0"/>
          <w:sz w:val="32"/>
          <w:szCs w:val="32"/>
          <w:shd w:val="clear" w:fill="FFFFFF"/>
          <w:lang w:val="en-US" w:eastAsia="zh-CN" w:bidi="ar"/>
        </w:rPr>
        <w:t>附件2</w:t>
      </w:r>
    </w:p>
    <w:p>
      <w:pPr>
        <w:widowControl/>
        <w:jc w:val="center"/>
        <w:outlineLvl w:val="0"/>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陕西省三级医院评审标准实施细则</w:t>
      </w:r>
    </w:p>
    <w:p>
      <w:pPr>
        <w:widowControl/>
        <w:jc w:val="center"/>
        <w:outlineLvl w:val="0"/>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（2023年版）</w:t>
      </w:r>
    </w:p>
    <w:p>
      <w:pPr>
        <w:widowControl/>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第一部分  前置要求</w:t>
      </w:r>
    </w:p>
    <w:p>
      <w:pPr>
        <w:pStyle w:val="4"/>
        <w:spacing w:line="560" w:lineRule="exact"/>
        <w:ind w:firstLine="640" w:firstLineChars="200"/>
        <w:jc w:val="left"/>
        <w:rPr>
          <w:rFonts w:hint="eastAsia" w:ascii="黑体" w:hAnsi="黑体" w:eastAsia="黑体" w:cs="黑体"/>
          <w:b w:val="0"/>
          <w:bCs w:val="0"/>
          <w:color w:val="auto"/>
          <w:sz w:val="32"/>
          <w:szCs w:val="32"/>
        </w:rPr>
      </w:pPr>
      <w:bookmarkStart w:id="0" w:name="_Toc6766_WPSOffice_Level2"/>
      <w:bookmarkStart w:id="1" w:name="_Toc110626868"/>
      <w:r>
        <w:rPr>
          <w:rFonts w:hint="eastAsia" w:ascii="黑体" w:hAnsi="黑体" w:eastAsia="黑体" w:cs="黑体"/>
          <w:b w:val="0"/>
          <w:bCs w:val="0"/>
          <w:color w:val="auto"/>
          <w:sz w:val="32"/>
          <w:szCs w:val="32"/>
        </w:rPr>
        <w:t>一、依法设置与执业</w:t>
      </w:r>
      <w:bookmarkEnd w:id="0"/>
      <w:bookmarkEnd w:id="1"/>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（一）医院规模和基本设置未达到《医疗机构管理条例》《医疗机构基本标准（试行）》所要求的医院标准。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（三）违反《中华人民共和国医师法》《医疗机构管理条例》《护士条例》，使用非卫生技术人员从事医疗卫生技术工作。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（四）违反《中华人民共和国药品管理法》《医疗器械监督管理条例》，违法违规采购或使用药品、设备、器械、耗材开展诊疗活动，造成严重后果；未经许可配置使用需要准入审批的大型医用设备。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（五）违反《中华人民共和国母婴保健法》，未取得母婴保健技术服务执业许可证开展相关母婴保健技术。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（六）违反《人体器官移植条例》，买卖人体器官或者从事与买卖人体器官有关的活动，未经许可开展人体器官获取与移植技术。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（七）违反《中华人民共和国献血法》，非法采集血液、非法组织他人出卖血液、出售无偿献血的血液。</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违反《中华人民共和国传染病防治法》《中华人民共和国生物安全法》《病原微生物实验室生物安全管理条例》，造成传染病传播、流行或其他严重后果；或其他重大违法违规事件，造成严重后果或情节严重；卫生健康行政部门或监督执法机构近两年来对其进行传染病防治分类监督综合评价为重点监督单位（以两年来最近一次评价结果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（九）违反《医疗纠纷预防和处理条例》《医疗事故处理条例》，篡改、伪造、隐匿、毁灭病历资料，造成严重后果。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（十）违反《医疗技术临床应用管理办法》，将未通过技术评估与伦理审查的医疗新技术、禁止类医疗技术应用于临床，造成严重后果。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（十二）违反《放射诊疗管理规定》，未取得放射诊疗许可从事放射诊疗工作或未履行其他法定职责，造成严重后果。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（十三）违反《中华人民共和国职业病防治法》，未依法开展职业健康检查或职业病诊断、未依法履行职业病与疑似职业病报告等法定职责，造成严重后果。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（十四）违反《中华人民共和国广告法》《医疗广告管理办法》，违规发布医疗广告，情节严重。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（十五）其他重大违法、违规事件，造成严重后果或情节严重。</w:t>
      </w:r>
    </w:p>
    <w:p>
      <w:pPr>
        <w:pStyle w:val="4"/>
        <w:spacing w:line="560" w:lineRule="exact"/>
        <w:ind w:firstLine="640" w:firstLineChars="200"/>
        <w:jc w:val="left"/>
        <w:rPr>
          <w:rFonts w:hint="eastAsia" w:ascii="黑体" w:hAnsi="黑体" w:eastAsia="黑体" w:cs="黑体"/>
          <w:b w:val="0"/>
          <w:bCs w:val="0"/>
          <w:color w:val="auto"/>
          <w:sz w:val="32"/>
          <w:szCs w:val="32"/>
        </w:rPr>
      </w:pPr>
      <w:bookmarkStart w:id="2" w:name="_Toc110626869"/>
      <w:bookmarkStart w:id="3" w:name="_Toc16483_WPSOffice_Level2"/>
      <w:r>
        <w:rPr>
          <w:rFonts w:hint="eastAsia" w:ascii="黑体" w:hAnsi="黑体" w:eastAsia="黑体" w:cs="黑体"/>
          <w:b w:val="0"/>
          <w:bCs w:val="0"/>
          <w:color w:val="auto"/>
          <w:sz w:val="32"/>
          <w:szCs w:val="32"/>
        </w:rPr>
        <w:t>二、公益性责任和行风诚信</w:t>
      </w:r>
      <w:bookmarkEnd w:id="2"/>
      <w:bookmarkEnd w:id="3"/>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（一）应当完成而未完成对口支援、中国援外医疗队、突发公共事件医疗救援、公共卫生任务等政府指令性工作。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（二）应当执行而未执行国家基本药物制度和分级诊疗政策。</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（三）医院领导班子发生3起以上严重职务犯罪或严重违纪事件，或医务人员发生3起以上违反《医疗机构工作人员廉洁从业九项准则》的群体性事件（≥3人/起），造成重大社会影响。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（四）发生重大价格或收费违法事件，以及恶意骗取医保基金。</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（五）违反《中华人民共和国统计法》《医疗质量管理办法》《医学科研诚信和相关行为规范》相关要求，提供、报告虚假住院病案首页等医疗服务信息、统计数据、申报材料和科研成果，情节严重。</w:t>
      </w:r>
    </w:p>
    <w:p>
      <w:pPr>
        <w:pStyle w:val="4"/>
        <w:spacing w:line="560" w:lineRule="exact"/>
        <w:ind w:firstLine="640" w:firstLineChars="200"/>
        <w:jc w:val="left"/>
        <w:rPr>
          <w:rFonts w:hint="eastAsia" w:ascii="黑体" w:hAnsi="黑体" w:eastAsia="黑体" w:cs="黑体"/>
          <w:b w:val="0"/>
          <w:bCs w:val="0"/>
          <w:color w:val="auto"/>
          <w:sz w:val="32"/>
          <w:szCs w:val="32"/>
        </w:rPr>
      </w:pPr>
      <w:bookmarkStart w:id="4" w:name="_Toc20183_WPSOffice_Level2"/>
      <w:bookmarkStart w:id="5" w:name="_Toc110626870"/>
      <w:r>
        <w:rPr>
          <w:rFonts w:hint="eastAsia" w:ascii="黑体" w:hAnsi="黑体" w:eastAsia="黑体" w:cs="黑体"/>
          <w:b w:val="0"/>
          <w:bCs w:val="0"/>
          <w:color w:val="auto"/>
          <w:sz w:val="32"/>
          <w:szCs w:val="32"/>
        </w:rPr>
        <w:t>三、安全管理与重大事件</w:t>
      </w:r>
      <w:bookmarkEnd w:id="4"/>
      <w:bookmarkEnd w:id="5"/>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（一）发生定性为完全责任的一级医疗事故或直接被卫生健康行政部门判定的重大医疗事故。</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（二）发生重大医院感染事件，造成严重后果。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（三）发生因重大火灾、放射源泄漏、有害气体泄漏等被通报或处罚的重大安全事故。</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（四）发生瞒报、漏报重大医疗过失事件的行为。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（五）发生大规模医疗数据泄露或其他重大网络安全事件，造成严重后果。</w:t>
      </w:r>
    </w:p>
    <w:p>
      <w:pPr>
        <w:pStyle w:val="4"/>
        <w:spacing w:line="560" w:lineRule="exact"/>
        <w:ind w:firstLine="640" w:firstLineChars="200"/>
        <w:jc w:val="left"/>
        <w:rPr>
          <w:rFonts w:hint="eastAsia" w:ascii="黑体" w:hAnsi="黑体" w:eastAsia="黑体" w:cs="黑体"/>
          <w:b w:val="0"/>
          <w:bCs w:val="0"/>
          <w:color w:val="auto"/>
          <w:sz w:val="32"/>
          <w:szCs w:val="32"/>
        </w:rPr>
      </w:pPr>
      <w:bookmarkStart w:id="6" w:name="_Toc110626871"/>
      <w:bookmarkStart w:id="7" w:name="_Toc3245_WPSOffice_Level2"/>
      <w:r>
        <w:rPr>
          <w:rFonts w:hint="eastAsia" w:ascii="黑体" w:hAnsi="黑体" w:eastAsia="黑体" w:cs="黑体"/>
          <w:b w:val="0"/>
          <w:bCs w:val="0"/>
          <w:color w:val="auto"/>
          <w:sz w:val="32"/>
          <w:szCs w:val="32"/>
        </w:rPr>
        <w:t>四、其他重点工作</w:t>
      </w:r>
      <w:bookmarkEnd w:id="6"/>
      <w:bookmarkEnd w:id="7"/>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（一）电子病历系统应用水平分级评价未达到4级要求。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（二）医院安防系统未达到《陕西省三级医院安全防范建设标准（试行）》基本指标并未开展安检工作。</w:t>
      </w:r>
    </w:p>
    <w:p>
      <w:pP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sectPr>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438BB"/>
    <w:rsid w:val="0A601C58"/>
    <w:rsid w:val="0C285B65"/>
    <w:rsid w:val="15190B70"/>
    <w:rsid w:val="354668F5"/>
    <w:rsid w:val="3DBC786D"/>
    <w:rsid w:val="605B54C1"/>
    <w:rsid w:val="6DEA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line="640" w:lineRule="exact"/>
      <w:jc w:val="center"/>
      <w:outlineLvl w:val="0"/>
    </w:pPr>
    <w:rPr>
      <w:rFonts w:eastAsia="方正小标宋简体" w:cs="Times New Roman"/>
      <w:b/>
      <w:bCs/>
      <w:sz w:val="44"/>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zhanglei</dc:creator>
  <cp:lastModifiedBy>王青 D</cp:lastModifiedBy>
  <cp:lastPrinted>2024-12-19T09:32:00Z</cp:lastPrinted>
  <dcterms:modified xsi:type="dcterms:W3CDTF">2024-12-19T09:47:35Z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