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rPr>
      </w:pPr>
      <w:r>
        <w:rPr>
          <w:rFonts w:hint="eastAsia" w:ascii="仿宋" w:hAnsi="仿宋" w:eastAsia="仿宋" w:cs="仿宋"/>
          <w:b/>
          <w:sz w:val="32"/>
          <w:szCs w:val="32"/>
        </w:rPr>
        <w:t>省科技进步奖：</w:t>
      </w:r>
    </w:p>
    <w:p>
      <w:pPr>
        <w:rPr>
          <w:rFonts w:hint="eastAsia" w:ascii="仿宋" w:hAnsi="仿宋" w:eastAsia="仿宋" w:cs="仿宋"/>
          <w:sz w:val="32"/>
          <w:szCs w:val="32"/>
          <w:lang w:eastAsia="zh-CN"/>
        </w:rPr>
      </w:pPr>
      <w:r>
        <w:rPr>
          <w:rFonts w:hint="eastAsia" w:ascii="仿宋" w:hAnsi="仿宋" w:eastAsia="仿宋" w:cs="仿宋"/>
          <w:b/>
          <w:bCs/>
          <w:sz w:val="32"/>
          <w:szCs w:val="32"/>
        </w:rPr>
        <w:t>项目名称</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游离腓骨移植修复股骨感染性骨缺损</w:t>
      </w:r>
    </w:p>
    <w:p>
      <w:pPr>
        <w:rPr>
          <w:rFonts w:hint="default" w:ascii="仿宋" w:hAnsi="仿宋" w:eastAsia="仿宋" w:cs="仿宋"/>
          <w:sz w:val="32"/>
          <w:szCs w:val="32"/>
          <w:lang w:val="en-US" w:eastAsia="zh-CN"/>
        </w:rPr>
      </w:pPr>
      <w:r>
        <w:rPr>
          <w:rFonts w:hint="eastAsia" w:ascii="仿宋" w:hAnsi="仿宋" w:eastAsia="仿宋" w:cs="仿宋"/>
          <w:b/>
          <w:bCs/>
          <w:sz w:val="32"/>
          <w:szCs w:val="32"/>
        </w:rPr>
        <w:t>提名者及提名意见</w:t>
      </w:r>
      <w:r>
        <w:rPr>
          <w:rFonts w:hint="eastAsia" w:ascii="仿宋" w:hAnsi="仿宋" w:eastAsia="仿宋" w:cs="仿宋"/>
          <w:b/>
          <w:bCs/>
          <w:sz w:val="32"/>
          <w:szCs w:val="32"/>
          <w:lang w:eastAsia="zh-CN"/>
        </w:rPr>
        <w:t>：</w:t>
      </w:r>
      <w:r>
        <w:rPr>
          <w:rFonts w:hint="eastAsia" w:ascii="仿宋" w:hAnsi="仿宋" w:eastAsia="仿宋" w:cs="仿宋"/>
          <w:sz w:val="32"/>
          <w:szCs w:val="32"/>
          <w:lang w:val="en-US" w:eastAsia="zh-CN"/>
        </w:rPr>
        <w:t>陕西省卫生健康委员会拟提名陕西省科学技术进步奖</w:t>
      </w:r>
      <w:bookmarkStart w:id="0" w:name="_GoBack"/>
      <w:bookmarkEnd w:id="0"/>
    </w:p>
    <w:p>
      <w:pPr>
        <w:rPr>
          <w:rFonts w:hint="eastAsia" w:ascii="仿宋" w:hAnsi="仿宋" w:eastAsia="仿宋" w:cs="仿宋"/>
          <w:b/>
          <w:bCs/>
          <w:sz w:val="32"/>
          <w:szCs w:val="32"/>
          <w:lang w:eastAsia="zh-CN"/>
        </w:rPr>
      </w:pPr>
      <w:r>
        <w:rPr>
          <w:rFonts w:hint="eastAsia" w:ascii="仿宋" w:hAnsi="仿宋" w:eastAsia="仿宋" w:cs="仿宋"/>
          <w:b/>
          <w:bCs/>
          <w:sz w:val="32"/>
          <w:szCs w:val="32"/>
        </w:rPr>
        <w:t>项目简介</w:t>
      </w:r>
      <w:r>
        <w:rPr>
          <w:rFonts w:hint="eastAsia" w:ascii="仿宋" w:hAnsi="仿宋" w:eastAsia="仿宋" w:cs="仿宋"/>
          <w:b/>
          <w:bCs/>
          <w:sz w:val="32"/>
          <w:szCs w:val="32"/>
          <w:lang w:eastAsia="zh-CN"/>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随着现代交通运输及城市建设的发展，股骨干骨折临床常见，严重高能量创伤 所造成肢体软组织挫灭、粉碎性骨折，甚至开放性骨折。开放骨折清创不彻底、选 择不恰当的内固定材料及闭合骨折早期处理中各种医源性因素等可导致感染的发 生，感染迁延不愈，经窦道可间断排除死骨或感染经多次清创后均可遗留骨缺损。 感染性骨缺损是骨科医师面临的巨大挑战，骨缺损和骨感染常同时存在。对软组织条件差的股骨感染性骨缺损治疗周期长，修复技术难度较大。我们应用游离腓骨移 植修复股骨感染性骨缺损，通过随访记录患者的骨质愈合时间、功能恢复情况，探讨应用游离腓骨移植治疗股骨感染性骨缺损的临床效果，为治疗股骨感染性骨缺损探索一条新的方法。</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一、主要内容： 1.以显微外科为基础，应用游离腓骨移植治疗股骨感染性骨缺损；2.针对局部软组 织情况行游离腓骨或结合股前外侧皮瓣移植修复骨与软组织缺损，对部分骨缺损采 用单根腓骨移植，对股骨节段性缺损者采用双折腓骨移植修复；3.采用螺钉或钢板 内固定系统固定腓骨，确保肢体力线准确，切取腓骨时携带腓动脉穿支皮瓣作为监 测皮岛，疗效满意，外观良好。</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二、应用推广情况及效益： 本研究成果通过中华医学会骨科学分会年会（COA），中华医学会显微外科分会年会、 陕西省骨科年会，陕西省显微外科学习班等学术平台向全国骨科及显微外科同道进行学术交流，获得一致好评，对本研究成果在一期修复骨和软组织缺损的优势给予充分肯定，该技术成果在西安及周边地区各级医院也得到推广应用。对于大部分合 并骨与软组织缺损的严重四肢损伤，采用本技术可以一期对骨与软组织的缺损进行修复，且植骨愈合率高、疗程短、花费低，能够很好地恢复患肢外观及功能。经实 践检验，该项目有很好的实用性，能使患者和医院的利益得到双赢，值得推广应用。</w:t>
      </w:r>
    </w:p>
    <w:p>
      <w:pPr>
        <w:rPr>
          <w:rFonts w:hint="eastAsia" w:ascii="仿宋" w:hAnsi="仿宋" w:eastAsia="仿宋" w:cs="仿宋"/>
          <w:sz w:val="32"/>
          <w:szCs w:val="32"/>
          <w:lang w:eastAsia="zh-CN"/>
        </w:rPr>
      </w:pPr>
      <w:r>
        <w:rPr>
          <w:rFonts w:hint="eastAsia" w:ascii="仿宋" w:hAnsi="仿宋" w:eastAsia="仿宋" w:cs="仿宋"/>
          <w:b/>
          <w:bCs/>
          <w:sz w:val="32"/>
          <w:szCs w:val="32"/>
        </w:rPr>
        <w:t>客观评价</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髂骨、腓骨、肩胛骨是目前显微外科临床最常用的3种骨瓣，各有优缺点，常常被用于长管状骨缺损的修复。带血管蒂腓骨移植修复骨缺损在临床中的应 用报道已较多，大多数学者认为其主要适应证为修复 6cm 以上的长管骨缺损。 对于修复四肢大段骨缺损而言，该术式的优势明显。腓骨骨质与受区骨硬度相当，能更好满足关节活动及负重的需要；活骨移植使传统骨移植后漫长的爬行 替代过程转变为一般的骨折愈合过程，缩短了时间，同时提高了抗感染能力； 腓骨为次要负重骨，可取骨量较充足，对供区影响小。腓骨为长管状骨，其中 上段仅为肌肉附着部，无承重作用。腓动、静脉具有位置恒定、口径粗，适宜 显微外科手术吻合。采用带血管的游离腓骨移植，具有愈合快，支撑确实，不吸收等优点随着时间推移，腓骨均可增粗，使腔性骨缺损达到完全修复，保留了肢体功能。腓骨可供给较长段的骨移植，保留腓骨下段 1／4 以维持踝关节稳 定性，可切取 20 cm 以上骨段，切取后对下肢功能无明显妨碍。其适应症为骨 缺损 6cm 以上者。移植腓骨血管蒂在四肢的受区均能找到直径相当的吻合血管， 固定方式可采用钢板牢固固定。本手术要求术者具备熟练的显微外科技能，包括腓骨的切取，骨膜、肌袖及滋养动脉的保留，供、受区血管的处理，吻合血管等。</w:t>
      </w:r>
    </w:p>
    <w:p>
      <w:pPr>
        <w:rPr>
          <w:rFonts w:hint="eastAsia" w:ascii="仿宋" w:hAnsi="仿宋" w:eastAsia="仿宋" w:cs="仿宋"/>
          <w:b/>
          <w:bCs/>
          <w:sz w:val="32"/>
          <w:szCs w:val="32"/>
          <w:lang w:eastAsia="zh-CN"/>
        </w:rPr>
      </w:pPr>
      <w:r>
        <w:rPr>
          <w:rFonts w:hint="eastAsia" w:ascii="仿宋" w:hAnsi="仿宋" w:eastAsia="仿宋" w:cs="仿宋"/>
          <w:b/>
          <w:bCs/>
          <w:sz w:val="32"/>
          <w:szCs w:val="32"/>
        </w:rPr>
        <w:t>应用情况</w:t>
      </w:r>
      <w:r>
        <w:rPr>
          <w:rFonts w:hint="eastAsia" w:ascii="仿宋" w:hAnsi="仿宋" w:eastAsia="仿宋" w:cs="仿宋"/>
          <w:b/>
          <w:bCs/>
          <w:sz w:val="32"/>
          <w:szCs w:val="32"/>
          <w:lang w:eastAsia="zh-CN"/>
        </w:rPr>
        <w:t>：</w:t>
      </w:r>
    </w:p>
    <w:tbl>
      <w:tblPr>
        <w:tblStyle w:val="4"/>
        <w:tblW w:w="8565" w:type="dxa"/>
        <w:tblInd w:w="0" w:type="dxa"/>
        <w:shd w:val="clear" w:color="auto" w:fill="auto"/>
        <w:tblLayout w:type="fixed"/>
        <w:tblCellMar>
          <w:top w:w="0" w:type="dxa"/>
          <w:left w:w="0" w:type="dxa"/>
          <w:bottom w:w="0" w:type="dxa"/>
          <w:right w:w="0" w:type="dxa"/>
        </w:tblCellMar>
      </w:tblPr>
      <w:tblGrid>
        <w:gridCol w:w="684"/>
        <w:gridCol w:w="1300"/>
        <w:gridCol w:w="1754"/>
        <w:gridCol w:w="1883"/>
        <w:gridCol w:w="1514"/>
        <w:gridCol w:w="1430"/>
      </w:tblGrid>
      <w:tr>
        <w:tblPrEx>
          <w:shd w:val="clear" w:color="auto" w:fill="auto"/>
          <w:tblLayout w:type="fixed"/>
          <w:tblCellMar>
            <w:top w:w="0" w:type="dxa"/>
            <w:left w:w="0" w:type="dxa"/>
            <w:bottom w:w="0" w:type="dxa"/>
            <w:right w:w="0" w:type="dxa"/>
          </w:tblCellMar>
        </w:tblPrEx>
        <w:trPr>
          <w:trHeight w:val="618" w:hRule="atLeast"/>
        </w:trPr>
        <w:tc>
          <w:tcPr>
            <w:tcW w:w="856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主要应用单位情况表</w:t>
            </w:r>
          </w:p>
        </w:tc>
      </w:tr>
      <w:tr>
        <w:tblPrEx>
          <w:shd w:val="clear" w:color="auto" w:fill="auto"/>
          <w:tblLayout w:type="fixed"/>
          <w:tblCellMar>
            <w:top w:w="0" w:type="dxa"/>
            <w:left w:w="0" w:type="dxa"/>
            <w:bottom w:w="0" w:type="dxa"/>
            <w:right w:w="0" w:type="dxa"/>
          </w:tblCellMar>
        </w:tblPrEx>
        <w:trPr>
          <w:trHeight w:val="1075"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序号</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单位名称</w:t>
            </w:r>
          </w:p>
        </w:tc>
        <w:tc>
          <w:tcPr>
            <w:tcW w:w="17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应用的技 术</w:t>
            </w:r>
          </w:p>
        </w:tc>
        <w:tc>
          <w:tcPr>
            <w:tcW w:w="1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应用对象及规模</w:t>
            </w: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应用起止 时间</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单位联系 人/电话</w:t>
            </w:r>
          </w:p>
        </w:tc>
      </w:tr>
      <w:tr>
        <w:tblPrEx>
          <w:shd w:val="clear" w:color="auto" w:fill="auto"/>
          <w:tblLayout w:type="fixed"/>
          <w:tblCellMar>
            <w:top w:w="0" w:type="dxa"/>
            <w:left w:w="0" w:type="dxa"/>
            <w:bottom w:w="0" w:type="dxa"/>
            <w:right w:w="0" w:type="dxa"/>
          </w:tblCellMar>
        </w:tblPrEx>
        <w:trPr>
          <w:trHeight w:val="1742" w:hRule="atLeast"/>
        </w:trPr>
        <w:tc>
          <w:tcPr>
            <w:tcW w:w="684"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p>
        </w:tc>
        <w:tc>
          <w:tcPr>
            <w:tcW w:w="130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咸阳市中心医院</w:t>
            </w:r>
          </w:p>
        </w:tc>
        <w:tc>
          <w:tcPr>
            <w:tcW w:w="1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游离腓骨皮瓣修复前足复合组织缺损</w:t>
            </w:r>
          </w:p>
        </w:tc>
        <w:tc>
          <w:tcPr>
            <w:tcW w:w="1883"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50余例前足复合组织缺</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损患者</w:t>
            </w:r>
          </w:p>
        </w:tc>
        <w:tc>
          <w:tcPr>
            <w:tcW w:w="151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2012 年1月—2014年</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12月</w:t>
            </w:r>
          </w:p>
        </w:tc>
        <w:tc>
          <w:tcPr>
            <w:tcW w:w="143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郑胜平</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139920238</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39</w:t>
            </w:r>
          </w:p>
        </w:tc>
      </w:tr>
      <w:tr>
        <w:tblPrEx>
          <w:shd w:val="clear" w:color="auto" w:fill="auto"/>
          <w:tblLayout w:type="fixed"/>
          <w:tblCellMar>
            <w:top w:w="0" w:type="dxa"/>
            <w:left w:w="0" w:type="dxa"/>
            <w:bottom w:w="0" w:type="dxa"/>
            <w:right w:w="0" w:type="dxa"/>
          </w:tblCellMar>
        </w:tblPrEx>
        <w:trPr>
          <w:trHeight w:val="1830" w:hRule="atLeast"/>
        </w:trPr>
        <w:tc>
          <w:tcPr>
            <w:tcW w:w="68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渭南市中心医院</w:t>
            </w:r>
          </w:p>
        </w:tc>
        <w:tc>
          <w:tcPr>
            <w:tcW w:w="1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游离腓骨皮瓣</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修复前足复合组织缺损</w:t>
            </w:r>
          </w:p>
        </w:tc>
        <w:tc>
          <w:tcPr>
            <w:tcW w:w="188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30余例足复</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组织损患前合</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缺者</w:t>
            </w:r>
          </w:p>
        </w:tc>
        <w:tc>
          <w:tcPr>
            <w:tcW w:w="15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2012 年4</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月—2014  年12 月</w:t>
            </w:r>
          </w:p>
        </w:tc>
        <w:tc>
          <w:tcPr>
            <w:tcW w:w="143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段新红</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136191780</w:t>
            </w:r>
          </w:p>
          <w:p>
            <w:pPr>
              <w:keepNext w:val="0"/>
              <w:keepLines w:val="0"/>
              <w:pageBreakBefore w:val="0"/>
              <w:widowControl w:val="0"/>
              <w:kinsoku/>
              <w:wordWrap/>
              <w:overflowPunct/>
              <w:topLinePunct w:val="0"/>
              <w:autoSpaceDE/>
              <w:autoSpaceDN/>
              <w:bidi w:val="0"/>
              <w:adjustRightInd/>
              <w:snapToGrid/>
              <w:spacing w:before="7" w:line="5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08</w:t>
            </w:r>
          </w:p>
        </w:tc>
      </w:tr>
    </w:tbl>
    <w:p>
      <w:pPr>
        <w:rPr>
          <w:rFonts w:hint="eastAsia" w:ascii="仿宋" w:hAnsi="仿宋" w:eastAsia="仿宋" w:cs="仿宋"/>
          <w:sz w:val="32"/>
          <w:szCs w:val="32"/>
          <w:lang w:eastAsia="zh-CN"/>
        </w:rPr>
      </w:pPr>
    </w:p>
    <w:p>
      <w:pPr>
        <w:rPr>
          <w:rFonts w:hint="default" w:ascii="仿宋" w:hAnsi="仿宋" w:eastAsia="仿宋" w:cs="仿宋"/>
          <w:b/>
          <w:bCs/>
          <w:sz w:val="32"/>
          <w:szCs w:val="32"/>
          <w:lang w:val="en-US" w:eastAsia="zh-CN"/>
        </w:rPr>
      </w:pPr>
      <w:r>
        <w:rPr>
          <w:rFonts w:hint="eastAsia" w:ascii="仿宋" w:hAnsi="仿宋" w:eastAsia="仿宋" w:cs="仿宋"/>
          <w:b/>
          <w:bCs/>
          <w:sz w:val="32"/>
          <w:szCs w:val="32"/>
          <w:lang w:eastAsia="zh-CN"/>
        </w:rPr>
        <w:t>主要知识产权和标准规范等目录：</w:t>
      </w:r>
      <w:r>
        <w:rPr>
          <w:rFonts w:hint="eastAsia" w:ascii="仿宋" w:hAnsi="仿宋" w:eastAsia="仿宋" w:cs="仿宋"/>
          <w:b/>
          <w:bCs/>
          <w:sz w:val="32"/>
          <w:szCs w:val="32"/>
          <w:lang w:val="en-US" w:eastAsia="zh-CN"/>
        </w:rPr>
        <w:t>无</w:t>
      </w:r>
    </w:p>
    <w:p>
      <w:pPr>
        <w:rPr>
          <w:rFonts w:hint="eastAsia" w:ascii="仿宋" w:hAnsi="仿宋" w:eastAsia="仿宋" w:cs="仿宋"/>
          <w:sz w:val="32"/>
          <w:szCs w:val="32"/>
          <w:lang w:eastAsia="zh-CN"/>
        </w:rPr>
      </w:pPr>
      <w:r>
        <w:rPr>
          <w:rFonts w:hint="eastAsia" w:ascii="仿宋" w:hAnsi="仿宋" w:eastAsia="仿宋" w:cs="仿宋"/>
          <w:b/>
          <w:bCs/>
          <w:sz w:val="32"/>
          <w:szCs w:val="32"/>
        </w:rPr>
        <w:t>主要完成人情况</w:t>
      </w:r>
      <w:r>
        <w:rPr>
          <w:rFonts w:hint="eastAsia" w:ascii="仿宋" w:hAnsi="仿宋" w:eastAsia="仿宋" w:cs="仿宋"/>
          <w:b/>
          <w:bCs/>
          <w:sz w:val="32"/>
          <w:szCs w:val="32"/>
          <w:lang w:eastAsia="zh-CN"/>
        </w:rPr>
        <w:t>：</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郭永明</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所长</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pageBreakBefore w:val="0"/>
              <w:widowControl/>
              <w:suppressLineNumbers w:val="0"/>
              <w:kinsoku/>
              <w:wordWrap/>
              <w:overflowPunct/>
              <w:topLinePunct w:val="0"/>
              <w:autoSpaceDE/>
              <w:autoSpaceDN/>
              <w:bidi w:val="0"/>
              <w:adjustRightInd/>
              <w:snapToGrid/>
              <w:spacing w:line="560" w:lineRule="exact"/>
              <w:textAlignment w:val="auto"/>
              <w:rPr>
                <w:color w:val="000000"/>
                <w:sz w:val="24"/>
                <w:szCs w:val="24"/>
                <w:vertAlign w:val="baseline"/>
              </w:rPr>
            </w:pPr>
            <w:r>
              <w:rPr>
                <w:rFonts w:hint="eastAsia" w:ascii="仿宋" w:hAnsi="仿宋" w:eastAsia="仿宋" w:cs="仿宋"/>
                <w:b w:val="0"/>
                <w:bCs w:val="0"/>
                <w:sz w:val="28"/>
                <w:szCs w:val="28"/>
              </w:rPr>
              <w:t>兵器工业卫生研究所</w:t>
            </w:r>
          </w:p>
        </w:tc>
        <w:tc>
          <w:tcPr>
            <w:tcW w:w="2131" w:type="dxa"/>
            <w:vAlign w:val="top"/>
          </w:tcPr>
          <w:p>
            <w:pPr>
              <w:pStyle w:val="3"/>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textAlignment w:val="auto"/>
              <w:rPr>
                <w:color w:val="000000"/>
                <w:sz w:val="24"/>
                <w:szCs w:val="24"/>
                <w:vertAlign w:val="baseline"/>
              </w:rPr>
            </w:pPr>
            <w:r>
              <w:rPr>
                <w:color w:val="000000"/>
                <w:sz w:val="24"/>
                <w:szCs w:val="24"/>
              </w:rPr>
              <w:t>完成单位</w:t>
            </w:r>
          </w:p>
        </w:tc>
        <w:tc>
          <w:tcPr>
            <w:tcW w:w="2131" w:type="dxa"/>
          </w:tcPr>
          <w:p>
            <w:pPr>
              <w:pStyle w:val="3"/>
              <w:keepNext w:val="0"/>
              <w:keepLines w:val="0"/>
              <w:pageBreakBefore w:val="0"/>
              <w:widowControl/>
              <w:suppressLineNumbers w:val="0"/>
              <w:kinsoku/>
              <w:wordWrap/>
              <w:overflowPunct/>
              <w:topLinePunct w:val="0"/>
              <w:autoSpaceDE/>
              <w:autoSpaceDN/>
              <w:bidi w:val="0"/>
              <w:adjustRightInd/>
              <w:snapToGrid/>
              <w:spacing w:line="560" w:lineRule="exact"/>
              <w:textAlignment w:val="auto"/>
              <w:rPr>
                <w:color w:val="000000"/>
                <w:sz w:val="24"/>
                <w:szCs w:val="24"/>
                <w:vertAlign w:val="baseline"/>
              </w:rPr>
            </w:pPr>
            <w:r>
              <w:rPr>
                <w:rFonts w:hint="eastAsia" w:ascii="仿宋" w:hAnsi="仿宋" w:eastAsia="仿宋" w:cs="仿宋"/>
                <w:b w:val="0"/>
                <w:bCs w:val="0"/>
                <w:sz w:val="28"/>
                <w:szCs w:val="28"/>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在本项目中，负责课题总体设计及方案论证，并负责手术设计。创造性贡献：1.总结我院治疗的股骨感染性骨缺损治疗病例，提出多种方式的游离腓骨移植修复方法，针对不同病例制定相应的组织联合移植 的手术方案。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吴勐</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关节外科主任</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c>
          <w:tcPr>
            <w:tcW w:w="2131" w:type="dxa"/>
            <w:vAlign w:val="top"/>
          </w:tcPr>
          <w:p>
            <w:pPr>
              <w:pStyle w:val="3"/>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在本项目中，参加手术的具体实施工作，参与课题总结、整理、分析并写出具体报告。创造性贡献：1.参与入组病例的手术操作及术后康复工作；2.总结我院治疗股骨感染性骨缺损的病例，整理数据并组 织协作论文。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滕云升</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副院长</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c>
          <w:tcPr>
            <w:tcW w:w="2131" w:type="dxa"/>
            <w:vAlign w:val="top"/>
          </w:tcPr>
          <w:p>
            <w:pPr>
              <w:pStyle w:val="3"/>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发表论文30余篇，参与编写《濒临截肢肢体的显微外科修复》专著一部，科技成果先后获省工委科技进步一等奖1次，市级科技进步一等奖2次，省级科技进步三等奖3次，市级新技术项目一等奖6次。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张朝</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副院长</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c>
          <w:tcPr>
            <w:tcW w:w="2131" w:type="dxa"/>
            <w:vAlign w:val="top"/>
          </w:tcPr>
          <w:p>
            <w:pPr>
              <w:pStyle w:val="3"/>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在本项目中，参与课题总结、整理、分析并写出具体报告。创造性贡献：1.提出游离腓骨组合股前外侧皮瓣血管蒂串联组合移植的技术；2.采用钢板螺钉内固定骨折断端及移植腓骨，利于后期护理及早期功 能锻炼。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刘重</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创伤骨科副主任</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副主任医师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c>
          <w:tcPr>
            <w:tcW w:w="2131" w:type="dxa"/>
            <w:vAlign w:val="top"/>
          </w:tcPr>
          <w:p>
            <w:pPr>
              <w:pStyle w:val="3"/>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在本项目中，参加手术的具体实施工作，参与课题总结、整理、分析并写出具体报告。创造性贡献：1.参与入组病例的手术操作及术后随访；2.总结我院治疗的股骨感染新骨缺损病例，整理数据并组织协 作论文。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杨亚龙</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无</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主治医师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c>
          <w:tcPr>
            <w:tcW w:w="2131" w:type="dxa"/>
            <w:vAlign w:val="top"/>
          </w:tcPr>
          <w:p>
            <w:pPr>
              <w:pStyle w:val="3"/>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在本项目中，参加手术的具体实施工作，参与课题总结、整理、分析并写出具体报告。创造性贡献：1.参与入组病例的手术操作及术后康复工作；2.总结我院治疗的股骨感染性骨缺损病例，整理数据并组 织协作论文。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姓 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陶胜林</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排 名</w:t>
            </w:r>
          </w:p>
        </w:tc>
        <w:tc>
          <w:tcPr>
            <w:tcW w:w="2131"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行政职务</w:t>
            </w:r>
          </w:p>
        </w:tc>
        <w:tc>
          <w:tcPr>
            <w:tcW w:w="2130" w:type="dxa"/>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无</w:t>
            </w:r>
          </w:p>
        </w:tc>
        <w:tc>
          <w:tcPr>
            <w:tcW w:w="2131" w:type="dxa"/>
          </w:tcPr>
          <w:p>
            <w:pPr>
              <w:pStyle w:val="3"/>
              <w:keepNext w:val="0"/>
              <w:keepLines w:val="0"/>
              <w:widowControl/>
              <w:suppressLineNumbers w:val="0"/>
              <w:rPr>
                <w:color w:val="000000"/>
                <w:sz w:val="24"/>
                <w:szCs w:val="24"/>
                <w:vertAlign w:val="baseline"/>
              </w:rPr>
            </w:pPr>
            <w:r>
              <w:rPr>
                <w:color w:val="000000"/>
                <w:sz w:val="24"/>
                <w:szCs w:val="24"/>
              </w:rPr>
              <w:t>技术职称</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工作单位</w:t>
            </w:r>
          </w:p>
        </w:tc>
        <w:tc>
          <w:tcPr>
            <w:tcW w:w="2130"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c>
          <w:tcPr>
            <w:tcW w:w="2131" w:type="dxa"/>
            <w:vAlign w:val="top"/>
          </w:tcPr>
          <w:p>
            <w:pPr>
              <w:pStyle w:val="3"/>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131"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3"/>
              <w:keepNext w:val="0"/>
              <w:keepLines w:val="0"/>
              <w:widowControl/>
              <w:suppressLineNumbers w:val="0"/>
              <w:rPr>
                <w:color w:val="000000"/>
                <w:sz w:val="24"/>
                <w:szCs w:val="24"/>
                <w:vertAlign w:val="baseline"/>
              </w:rPr>
            </w:pPr>
            <w:r>
              <w:rPr>
                <w:color w:val="000000"/>
                <w:sz w:val="24"/>
                <w:szCs w:val="24"/>
              </w:rPr>
              <w:t>对本项目主要学术贡献</w:t>
            </w:r>
          </w:p>
        </w:tc>
        <w:tc>
          <w:tcPr>
            <w:tcW w:w="6392" w:type="dxa"/>
            <w:gridSpan w:val="3"/>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在本项目中，参加手术的具体实施工作，参与课题总结、整理、分析并写出具体报告。创造性贡献：参加入组病例的手术操作及术后康复工作；总结我院治疗的股骨感染性骨缺损病例，整理数据并组织写作论文。</w:t>
            </w:r>
          </w:p>
        </w:tc>
      </w:tr>
    </w:tbl>
    <w:p>
      <w:pP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主要完成单位及创新推广贡献：</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65"/>
        <w:gridCol w:w="5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3" w:type="dxa"/>
            <w:gridSpan w:val="2"/>
          </w:tcPr>
          <w:p>
            <w:pPr>
              <w:pStyle w:val="3"/>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单位名称</w:t>
            </w:r>
          </w:p>
        </w:tc>
        <w:tc>
          <w:tcPr>
            <w:tcW w:w="5799"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8" w:type="dxa"/>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对本项目科技创新和推广应用情况的贡献</w:t>
            </w:r>
          </w:p>
        </w:tc>
        <w:tc>
          <w:tcPr>
            <w:tcW w:w="7064" w:type="dxa"/>
            <w:gridSpan w:val="2"/>
          </w:tcPr>
          <w:p>
            <w:pPr>
              <w:pStyle w:val="3"/>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负责本项目的设计、研究、试验、鉴定申报。本项目通过应用游离腓骨皮瓣移植或股前外侧皮瓣组合腓骨皮瓣修复股骨感染性骨缺损病例，观察术后骨皮瓣成活情况、创面愈合、腓骨移植骨愈合时间。并应用Enneking评分根据疼痛、肢体功能、情感接受、支撑、步行能力、步态6项对手术后患肢功能进行综合评分，经临床随访，获得满意疗效，我院将此技术推广，在西安市第九医院、西安市北方医院等三级医院应用，获得了患者和家属的好评。该技术治疗股骨感染性骨缺损患者可降低此类患者的截肢率，减轻社会负担及患者家属的心理负担。通过游离腓骨移植修复股骨感染性骨缺损有利于提高患肢功能使患者恢复原有劳动能力。本技术使软组织缺损和骨缺损一期修复，缩短病程，显著降低医疗费用，有利于患者早期回归社会。</w:t>
            </w:r>
          </w:p>
        </w:tc>
      </w:tr>
    </w:tbl>
    <w:p>
      <w:pPr>
        <w:rPr>
          <w:rFonts w:hint="default" w:eastAsia="仿宋"/>
          <w:sz w:val="28"/>
          <w:szCs w:val="28"/>
          <w:lang w:val="en-US" w:eastAsia="zh-CN"/>
        </w:rPr>
      </w:pPr>
      <w:r>
        <w:rPr>
          <w:rFonts w:hint="eastAsia" w:ascii="仿宋" w:hAnsi="仿宋" w:eastAsia="仿宋" w:cs="仿宋"/>
          <w:b/>
          <w:bCs/>
          <w:sz w:val="32"/>
          <w:szCs w:val="32"/>
        </w:rPr>
        <w:t>完成人合作关系说明</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A2B19"/>
    <w:rsid w:val="06CA167E"/>
    <w:rsid w:val="1DC8572E"/>
    <w:rsid w:val="1E5C61CD"/>
    <w:rsid w:val="21AC420F"/>
    <w:rsid w:val="26A251F8"/>
    <w:rsid w:val="28152071"/>
    <w:rsid w:val="2B663EBF"/>
    <w:rsid w:val="3189636A"/>
    <w:rsid w:val="35DA1773"/>
    <w:rsid w:val="3C9F7D79"/>
    <w:rsid w:val="42417711"/>
    <w:rsid w:val="43BB7F17"/>
    <w:rsid w:val="4E146AD5"/>
    <w:rsid w:val="503F3ACE"/>
    <w:rsid w:val="54FC221B"/>
    <w:rsid w:val="55670D95"/>
    <w:rsid w:val="56F65C0C"/>
    <w:rsid w:val="5F8655BA"/>
    <w:rsid w:val="63E16FB2"/>
    <w:rsid w:val="66CF31F6"/>
    <w:rsid w:val="69D21F30"/>
    <w:rsid w:val="7C2E2C65"/>
    <w:rsid w:val="7D840D3D"/>
    <w:rsid w:val="7FC64A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1"/>
    <w:pPr>
      <w:spacing w:before="10"/>
      <w:ind w:left="494"/>
    </w:pPr>
    <w:rPr>
      <w:rFonts w:ascii="宋体" w:hAnsi="宋体" w:eastAsia="宋体"/>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37046</dc:creator>
  <cp:lastModifiedBy>37046</cp:lastModifiedBy>
  <dcterms:modified xsi:type="dcterms:W3CDTF">2019-06-27T14:04:51Z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