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0" w:firstLineChars="0"/>
        <w:jc w:val="left"/>
        <w:outlineLvl w:val="1"/>
        <w:rPr>
          <w:rFonts w:asciiTheme="minorEastAsia" w:hAnsiTheme="minorEastAsia" w:eastAsiaTheme="minorEastAsia"/>
          <w:color w:val="000000"/>
          <w:kern w:val="0"/>
          <w:sz w:val="28"/>
          <w:szCs w:val="28"/>
        </w:rPr>
      </w:pPr>
      <w:r>
        <w:rPr>
          <w:rFonts w:hint="eastAsia" w:asciiTheme="minorEastAsia" w:hAnsiTheme="minorEastAsia" w:eastAsiaTheme="minorEastAsia"/>
          <w:b/>
          <w:bCs/>
          <w:sz w:val="28"/>
          <w:szCs w:val="28"/>
        </w:rPr>
        <w:t>一、</w:t>
      </w:r>
      <w:r>
        <w:rPr>
          <w:rFonts w:asciiTheme="minorEastAsia" w:hAnsiTheme="minorEastAsia" w:eastAsiaTheme="minorEastAsia"/>
          <w:b/>
          <w:bCs/>
          <w:sz w:val="28"/>
          <w:szCs w:val="28"/>
        </w:rPr>
        <w:t>项目</w:t>
      </w:r>
      <w:r>
        <w:rPr>
          <w:rFonts w:hint="eastAsia" w:asciiTheme="minorEastAsia" w:hAnsiTheme="minorEastAsia" w:eastAsiaTheme="minorEastAsia"/>
          <w:b/>
          <w:bCs/>
          <w:sz w:val="28"/>
          <w:szCs w:val="28"/>
        </w:rPr>
        <w:t>名称：</w:t>
      </w:r>
      <w:r>
        <w:rPr>
          <w:rFonts w:asciiTheme="minorEastAsia" w:hAnsiTheme="minorEastAsia" w:eastAsiaTheme="minorEastAsia"/>
          <w:color w:val="000000"/>
          <w:kern w:val="0"/>
          <w:sz w:val="28"/>
          <w:szCs w:val="28"/>
        </w:rPr>
        <w:t>白细胞分化抗原Basigin调控恶性肿瘤的分子细胞学机制</w:t>
      </w:r>
    </w:p>
    <w:p>
      <w:pPr>
        <w:pStyle w:val="3"/>
        <w:ind w:firstLine="0" w:firstLineChars="0"/>
        <w:outlineLvl w:val="1"/>
        <w:rPr>
          <w:rFonts w:asciiTheme="minorEastAsia" w:hAnsiTheme="minorEastAsia" w:eastAsiaTheme="minorEastAsia"/>
          <w:b/>
          <w:bCs/>
          <w:color w:val="000000" w:themeColor="text1"/>
          <w:sz w:val="28"/>
          <w:szCs w:val="28"/>
        </w:rPr>
      </w:pPr>
      <w:r>
        <w:rPr>
          <w:rFonts w:hint="eastAsia" w:asciiTheme="minorEastAsia" w:hAnsiTheme="minorEastAsia" w:eastAsiaTheme="minorEastAsia"/>
          <w:b/>
          <w:bCs/>
          <w:color w:val="000000" w:themeColor="text1"/>
          <w:sz w:val="28"/>
          <w:szCs w:val="28"/>
        </w:rPr>
        <w:t>二、</w:t>
      </w:r>
      <w:r>
        <w:rPr>
          <w:rFonts w:asciiTheme="minorEastAsia" w:hAnsiTheme="minorEastAsia" w:eastAsiaTheme="minorEastAsia"/>
          <w:b/>
          <w:bCs/>
          <w:color w:val="000000" w:themeColor="text1"/>
          <w:sz w:val="28"/>
          <w:szCs w:val="28"/>
        </w:rPr>
        <w:t>提名者</w:t>
      </w:r>
      <w:r>
        <w:rPr>
          <w:rFonts w:hint="eastAsia" w:asciiTheme="minorEastAsia" w:hAnsiTheme="minorEastAsia" w:eastAsiaTheme="minorEastAsia"/>
          <w:b/>
          <w:bCs/>
          <w:color w:val="000000" w:themeColor="text1"/>
          <w:sz w:val="28"/>
          <w:szCs w:val="28"/>
        </w:rPr>
        <w:t>：</w:t>
      </w:r>
      <w:r>
        <w:rPr>
          <w:rFonts w:hint="eastAsia" w:asciiTheme="minorEastAsia" w:hAnsiTheme="minorEastAsia" w:eastAsiaTheme="minorEastAsia"/>
          <w:sz w:val="28"/>
          <w:szCs w:val="28"/>
        </w:rPr>
        <w:t>陕西省卫生健康委员会</w:t>
      </w:r>
    </w:p>
    <w:p>
      <w:pPr>
        <w:rPr>
          <w:rFonts w:asciiTheme="minorEastAsia" w:hAnsiTheme="minorEastAsia" w:eastAsiaTheme="minorEastAsia"/>
          <w:sz w:val="28"/>
          <w:szCs w:val="28"/>
        </w:rPr>
      </w:pPr>
      <w:r>
        <w:rPr>
          <w:rFonts w:hint="eastAsia" w:asciiTheme="minorEastAsia" w:hAnsiTheme="minorEastAsia" w:eastAsiaTheme="minorEastAsia"/>
          <w:b/>
          <w:bCs/>
          <w:color w:val="000000" w:themeColor="text1"/>
          <w:sz w:val="28"/>
          <w:szCs w:val="28"/>
        </w:rPr>
        <w:t>三、提名</w:t>
      </w:r>
      <w:r>
        <w:rPr>
          <w:rFonts w:asciiTheme="minorEastAsia" w:hAnsiTheme="minorEastAsia" w:eastAsiaTheme="minorEastAsia"/>
          <w:b/>
          <w:bCs/>
          <w:color w:val="000000" w:themeColor="text1"/>
          <w:sz w:val="28"/>
          <w:szCs w:val="28"/>
        </w:rPr>
        <w:t>意见</w:t>
      </w:r>
      <w:r>
        <w:rPr>
          <w:rFonts w:hint="eastAsia" w:asciiTheme="minorEastAsia" w:hAnsiTheme="minorEastAsia" w:eastAsiaTheme="minorEastAsia"/>
          <w:b/>
          <w:bCs/>
          <w:color w:val="000000" w:themeColor="text1"/>
          <w:sz w:val="28"/>
          <w:szCs w:val="28"/>
        </w:rPr>
        <w:t>：</w:t>
      </w:r>
      <w:bookmarkStart w:id="0" w:name="_GoBack"/>
      <w:bookmarkEnd w:id="0"/>
      <w:r>
        <w:rPr>
          <w:rFonts w:hint="eastAsia"/>
          <w:color w:val="000000"/>
          <w:sz w:val="28"/>
          <w:szCs w:val="28"/>
          <w:lang w:val="en-US" w:eastAsia="zh-CN"/>
        </w:rPr>
        <w:t>拟提名陕西省自然科学技术奖。</w:t>
      </w:r>
    </w:p>
    <w:p>
      <w:pPr>
        <w:rPr>
          <w:rFonts w:hint="eastAsia" w:ascii="Times New Roman"/>
          <w:b/>
          <w:bCs/>
          <w:sz w:val="28"/>
        </w:rPr>
      </w:pPr>
      <w:r>
        <w:rPr>
          <w:rFonts w:hint="eastAsia" w:ascii="Times New Roman"/>
          <w:b/>
          <w:bCs/>
          <w:sz w:val="28"/>
        </w:rPr>
        <w:br w:type="page"/>
      </w:r>
    </w:p>
    <w:p>
      <w:pPr>
        <w:pStyle w:val="3"/>
        <w:ind w:firstLine="0" w:firstLineChars="0"/>
        <w:jc w:val="center"/>
        <w:outlineLvl w:val="1"/>
        <w:rPr>
          <w:rFonts w:ascii="Times New Roman"/>
          <w:sz w:val="28"/>
        </w:rPr>
      </w:pPr>
      <w:r>
        <w:rPr>
          <w:rFonts w:hint="eastAsia" w:ascii="Times New Roman"/>
          <w:b/>
          <w:bCs/>
          <w:sz w:val="28"/>
        </w:rPr>
        <w:t>四</w:t>
      </w:r>
      <w:r>
        <w:rPr>
          <w:rFonts w:ascii="Times New Roman"/>
          <w:b/>
          <w:bCs/>
          <w:sz w:val="28"/>
        </w:rPr>
        <w:t>、项目简介</w:t>
      </w:r>
      <w:r>
        <w:rPr>
          <w:rFonts w:ascii="Times New Roman"/>
        </w:rPr>
        <w:t>（限2页）</w:t>
      </w:r>
    </w:p>
    <w:tbl>
      <w:tblPr>
        <w:tblStyle w:val="11"/>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24" w:hRule="atLeast"/>
          <w:jc w:val="center"/>
        </w:trPr>
        <w:tc>
          <w:tcPr>
            <w:tcW w:w="9039" w:type="dxa"/>
          </w:tcPr>
          <w:p>
            <w:pPr>
              <w:pStyle w:val="22"/>
              <w:spacing w:line="400" w:lineRule="exact"/>
              <w:ind w:firstLine="480" w:firstLineChars="200"/>
              <w:jc w:val="both"/>
              <w:rPr>
                <w:rFonts w:ascii="Times New Roman" w:hAnsi="Times New Roman" w:cs="Times New Roman"/>
              </w:rPr>
            </w:pPr>
            <w:r>
              <w:rPr>
                <w:rFonts w:hint="eastAsia" w:ascii="Times New Roman" w:hAnsi="Times New Roman" w:cs="Times New Roman"/>
              </w:rPr>
              <w:t>肝、肺恶性肿瘤是我国发病率、死亡率极高，排名前</w:t>
            </w:r>
            <w:r>
              <w:rPr>
                <w:rFonts w:ascii="Times New Roman" w:hAnsi="Times New Roman" w:cs="Times New Roman"/>
              </w:rPr>
              <w:t>3</w:t>
            </w:r>
            <w:r>
              <w:rPr>
                <w:rFonts w:hint="eastAsia" w:ascii="Times New Roman" w:hAnsi="Times New Roman" w:cs="Times New Roman"/>
              </w:rPr>
              <w:t>位的恶性肿瘤，其死亡率</w:t>
            </w:r>
            <w:r>
              <w:rPr>
                <w:rFonts w:ascii="Times New Roman" w:hAnsi="Times New Roman" w:cs="Times New Roman"/>
              </w:rPr>
              <w:t>/</w:t>
            </w:r>
            <w:r>
              <w:rPr>
                <w:rFonts w:hint="eastAsia" w:ascii="Times New Roman" w:hAnsi="Times New Roman" w:cs="Times New Roman"/>
              </w:rPr>
              <w:t>发病率（</w:t>
            </w:r>
            <w:r>
              <w:rPr>
                <w:rFonts w:ascii="Times New Roman" w:hAnsi="Times New Roman" w:cs="Times New Roman"/>
              </w:rPr>
              <w:t>M/I</w:t>
            </w:r>
            <w:r>
              <w:rPr>
                <w:rFonts w:hint="eastAsia" w:ascii="Times New Roman" w:hAnsi="Times New Roman" w:cs="Times New Roman"/>
              </w:rPr>
              <w:t>）比率分别为</w:t>
            </w:r>
            <w:r>
              <w:rPr>
                <w:rFonts w:ascii="Times New Roman" w:hAnsi="Times New Roman" w:cs="Times New Roman"/>
              </w:rPr>
              <w:t>93.9%</w:t>
            </w:r>
            <w:r>
              <w:rPr>
                <w:rFonts w:hint="eastAsia" w:ascii="Times New Roman" w:hAnsi="Times New Roman" w:cs="Times New Roman"/>
              </w:rPr>
              <w:t>和</w:t>
            </w:r>
            <w:r>
              <w:rPr>
                <w:rFonts w:ascii="Times New Roman" w:hAnsi="Times New Roman" w:cs="Times New Roman"/>
              </w:rPr>
              <w:t>89.3%</w:t>
            </w:r>
            <w:r>
              <w:rPr>
                <w:rFonts w:hint="eastAsia" w:ascii="Times New Roman" w:hAnsi="Times New Roman" w:cs="Times New Roman"/>
              </w:rPr>
              <w:t>，远远高于总体肿瘤</w:t>
            </w:r>
            <w:r>
              <w:rPr>
                <w:rFonts w:ascii="Times New Roman" w:hAnsi="Times New Roman" w:cs="Times New Roman"/>
              </w:rPr>
              <w:t>M/I</w:t>
            </w:r>
            <w:r>
              <w:rPr>
                <w:rFonts w:hint="eastAsia" w:ascii="Times New Roman" w:hAnsi="Times New Roman" w:cs="Times New Roman"/>
              </w:rPr>
              <w:t>值（</w:t>
            </w:r>
            <w:r>
              <w:rPr>
                <w:rFonts w:ascii="Times New Roman" w:hAnsi="Times New Roman" w:cs="Times New Roman"/>
              </w:rPr>
              <w:t>66.9%</w:t>
            </w:r>
            <w:r>
              <w:rPr>
                <w:rFonts w:hint="eastAsia" w:ascii="Times New Roman" w:hAnsi="Times New Roman" w:cs="Times New Roman"/>
              </w:rPr>
              <w:t>）。另一方面，乳腺癌发病率位列女性恶性肿瘤之首。</w:t>
            </w:r>
            <w:r>
              <w:rPr>
                <w:rFonts w:ascii="Times New Roman" w:hAnsi="Times New Roman" w:cs="Times New Roman"/>
              </w:rPr>
              <w:t>2000</w:t>
            </w:r>
            <w:r>
              <w:rPr>
                <w:rFonts w:hint="eastAsia" w:ascii="Times New Roman" w:hAnsi="Times New Roman" w:cs="Times New Roman"/>
              </w:rPr>
              <w:t>年至</w:t>
            </w:r>
            <w:r>
              <w:rPr>
                <w:rFonts w:ascii="Times New Roman" w:hAnsi="Times New Roman" w:cs="Times New Roman"/>
              </w:rPr>
              <w:t>2013</w:t>
            </w:r>
            <w:r>
              <w:rPr>
                <w:rFonts w:hint="eastAsia" w:ascii="Times New Roman" w:hAnsi="Times New Roman" w:cs="Times New Roman"/>
              </w:rPr>
              <w:t>年，中国乳腺癌年平均增长率约</w:t>
            </w:r>
            <w:r>
              <w:rPr>
                <w:rFonts w:ascii="Times New Roman" w:hAnsi="Times New Roman" w:cs="Times New Roman"/>
              </w:rPr>
              <w:t>3.5%</w:t>
            </w:r>
            <w:r>
              <w:rPr>
                <w:rFonts w:hint="eastAsia" w:ascii="Times New Roman" w:hAnsi="Times New Roman" w:cs="Times New Roman"/>
              </w:rPr>
              <w:t>。目前，肝、肺、乳腺细胞的恶性转化分子细胞学机制仍不十分明了，尤其肝癌和肺癌的治疗效果有限。因此，阐明恶性肿瘤的分子细胞学机制，研发新靶点药物，并进行临床转化具有十分重要的意义。本项目任务来源于国家重大新药创制、国家自然科学基金等课题，历时近</w:t>
            </w:r>
            <w:r>
              <w:rPr>
                <w:rFonts w:ascii="Times New Roman" w:hAnsi="Times New Roman" w:cs="Times New Roman"/>
              </w:rPr>
              <w:t>11</w:t>
            </w:r>
            <w:r>
              <w:rPr>
                <w:rFonts w:hint="eastAsia" w:ascii="Times New Roman" w:hAnsi="Times New Roman" w:cs="Times New Roman"/>
              </w:rPr>
              <w:t>年，取得以下研究成果：</w:t>
            </w:r>
          </w:p>
          <w:p>
            <w:pPr>
              <w:pStyle w:val="22"/>
              <w:spacing w:line="400" w:lineRule="exact"/>
              <w:ind w:firstLine="482" w:firstLineChars="200"/>
              <w:jc w:val="both"/>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hint="eastAsia" w:ascii="Times New Roman" w:hAnsi="Times New Roman" w:eastAsia="黑体" w:cs="Times New Roman"/>
                <w:b/>
                <w:color w:val="000000" w:themeColor="text1"/>
              </w:rPr>
              <w:t>发现</w:t>
            </w:r>
            <w:r>
              <w:rPr>
                <w:rFonts w:hint="eastAsia" w:ascii="Times New Roman" w:hAnsi="Times New Roman" w:eastAsia="黑体" w:cs="Times New Roman"/>
                <w:b/>
              </w:rPr>
              <w:t>白细胞分化抗原</w:t>
            </w:r>
            <w:r>
              <w:rPr>
                <w:rFonts w:ascii="Times New Roman" w:hAnsi="Times New Roman" w:eastAsia="黑体" w:cs="Times New Roman"/>
                <w:b/>
              </w:rPr>
              <w:t>Basigin/</w:t>
            </w:r>
            <w:r>
              <w:rPr>
                <w:rFonts w:ascii="Times New Roman" w:hAnsi="Times New Roman" w:eastAsia="黑体" w:cs="Times New Roman"/>
                <w:b/>
                <w:color w:val="000000" w:themeColor="text1"/>
              </w:rPr>
              <w:t>CD147</w:t>
            </w:r>
            <w:r>
              <w:rPr>
                <w:rFonts w:hint="eastAsia" w:ascii="Times New Roman" w:hAnsi="Times New Roman" w:eastAsia="黑体" w:cs="Times New Roman"/>
                <w:b/>
                <w:color w:val="000000" w:themeColor="text1"/>
              </w:rPr>
              <w:t>参与调控肝癌细胞糖代谢重编程及脂肪酸代谢。</w:t>
            </w:r>
            <w:r>
              <w:rPr>
                <w:rFonts w:ascii="Times New Roman" w:hAnsi="Times New Roman" w:cs="Times New Roman"/>
              </w:rPr>
              <w:t>1</w:t>
            </w:r>
            <w:r>
              <w:rPr>
                <w:rFonts w:hint="eastAsia" w:ascii="Times New Roman" w:hAnsi="Times New Roman" w:cs="Times New Roman"/>
              </w:rPr>
              <w:t>）</w:t>
            </w:r>
            <w:r>
              <w:rPr>
                <w:rFonts w:hint="eastAsia" w:ascii="Times New Roman" w:hAnsi="Times New Roman" w:cs="Times New Roman"/>
                <w:color w:val="000000" w:themeColor="text1"/>
              </w:rPr>
              <w:t>糖代谢异常改变（即糖代谢重编程）在肿瘤发生及进展中具有关键作用。我们研究发现白细胞分化抗原</w:t>
            </w:r>
            <w:r>
              <w:rPr>
                <w:rFonts w:ascii="Times New Roman" w:hAnsi="Times New Roman" w:cs="Times New Roman"/>
                <w:color w:val="000000" w:themeColor="text1"/>
              </w:rPr>
              <w:t>Basigin/CD147</w:t>
            </w:r>
            <w:r>
              <w:rPr>
                <w:rFonts w:hint="eastAsia" w:ascii="Times New Roman" w:hAnsi="Times New Roman" w:cs="Times New Roman"/>
                <w:color w:val="000000" w:themeColor="text1"/>
              </w:rPr>
              <w:t>分子在体内外均可显著促进肝癌细胞糖酵解途径。</w:t>
            </w:r>
            <w:r>
              <w:rPr>
                <w:rFonts w:hint="eastAsia" w:ascii="Times New Roman" w:hAnsi="Times New Roman" w:cs="Times New Roman"/>
              </w:rPr>
              <w:t>发现</w:t>
            </w:r>
            <w:r>
              <w:rPr>
                <w:rFonts w:ascii="Times New Roman" w:hAnsi="Times New Roman" w:cs="Times New Roman"/>
              </w:rPr>
              <w:t>CD147</w:t>
            </w:r>
            <w:r>
              <w:rPr>
                <w:rFonts w:hint="eastAsia" w:ascii="Times New Roman" w:hAnsi="Times New Roman" w:cs="Times New Roman"/>
              </w:rPr>
              <w:t>通过调控</w:t>
            </w:r>
            <w:r>
              <w:rPr>
                <w:rFonts w:ascii="Times New Roman" w:hAnsi="Times New Roman" w:cs="Times New Roman"/>
              </w:rPr>
              <w:t>MCT1</w:t>
            </w:r>
            <w:r>
              <w:rPr>
                <w:rFonts w:hint="eastAsia" w:ascii="Times New Roman" w:hAnsi="Times New Roman" w:cs="Times New Roman"/>
              </w:rPr>
              <w:t>分子的膜定位，促进</w:t>
            </w:r>
            <w:r>
              <w:rPr>
                <w:rFonts w:ascii="Times New Roman" w:hAnsi="Times New Roman" w:cs="Times New Roman"/>
              </w:rPr>
              <w:t>HCC</w:t>
            </w:r>
            <w:r>
              <w:rPr>
                <w:rFonts w:hint="eastAsia" w:ascii="Times New Roman" w:hAnsi="Times New Roman" w:cs="Times New Roman"/>
              </w:rPr>
              <w:t>细胞乳酸分泌，调节肿瘤细胞糖代谢重编程而发挥促癌作用，该事件的主要信号通路为</w:t>
            </w:r>
            <w:r>
              <w:rPr>
                <w:rFonts w:ascii="Times New Roman" w:hAnsi="Times New Roman" w:cs="Times New Roman"/>
              </w:rPr>
              <w:t>CD147</w:t>
            </w:r>
            <w:r>
              <w:rPr>
                <w:rFonts w:hint="eastAsia" w:ascii="Times New Roman" w:hAnsi="Times New Roman" w:cs="Times New Roman"/>
              </w:rPr>
              <w:t>→</w:t>
            </w:r>
            <w:r>
              <w:rPr>
                <w:rFonts w:ascii="Times New Roman" w:hAnsi="Times New Roman" w:cs="Times New Roman"/>
              </w:rPr>
              <w:t>PI3K/Akt</w:t>
            </w:r>
            <w:r>
              <w:rPr>
                <w:rFonts w:hint="eastAsia" w:ascii="Times New Roman" w:hAnsi="Times New Roman" w:cs="Times New Roman"/>
              </w:rPr>
              <w:t>→</w:t>
            </w:r>
            <w:r>
              <w:rPr>
                <w:rFonts w:ascii="Times New Roman" w:hAnsi="Times New Roman" w:cs="Times New Roman"/>
              </w:rPr>
              <w:t>MDM2</w:t>
            </w:r>
            <w:r>
              <w:rPr>
                <w:rFonts w:hint="eastAsia" w:ascii="Times New Roman" w:hAnsi="Times New Roman" w:cs="Times New Roman"/>
              </w:rPr>
              <w:t>磷酸化→</w:t>
            </w:r>
            <w:r>
              <w:rPr>
                <w:rFonts w:ascii="Times New Roman" w:hAnsi="Times New Roman" w:cs="Times New Roman"/>
              </w:rPr>
              <w:t>P53</w:t>
            </w:r>
            <w:r>
              <w:rPr>
                <w:rFonts w:hint="eastAsia" w:ascii="Times New Roman" w:hAnsi="Times New Roman" w:cs="Times New Roman"/>
              </w:rPr>
              <w:t>降解→</w:t>
            </w:r>
            <w:r>
              <w:rPr>
                <w:rFonts w:ascii="Times New Roman" w:hAnsi="Times New Roman" w:cs="Times New Roman"/>
              </w:rPr>
              <w:t>TIGAR</w:t>
            </w:r>
            <w:r>
              <w:rPr>
                <w:rFonts w:hint="eastAsia" w:ascii="Times New Roman" w:hAnsi="Times New Roman" w:cs="Times New Roman"/>
              </w:rPr>
              <w:t>下调和</w:t>
            </w:r>
            <w:r>
              <w:rPr>
                <w:rFonts w:ascii="Times New Roman" w:hAnsi="Times New Roman" w:cs="Times New Roman"/>
              </w:rPr>
              <w:t>GLUT1</w:t>
            </w:r>
            <w:r>
              <w:rPr>
                <w:rFonts w:hint="eastAsia" w:ascii="Times New Roman" w:hAnsi="Times New Roman" w:cs="Times New Roman"/>
              </w:rPr>
              <w:t>上调→促进</w:t>
            </w:r>
            <w:r>
              <w:rPr>
                <w:rFonts w:ascii="Times New Roman" w:hAnsi="Times New Roman" w:cs="Times New Roman"/>
              </w:rPr>
              <w:t>HCC</w:t>
            </w:r>
            <w:r>
              <w:rPr>
                <w:rFonts w:hint="eastAsia" w:ascii="Times New Roman" w:hAnsi="Times New Roman" w:cs="Times New Roman"/>
              </w:rPr>
              <w:t>细胞糖酵解（</w:t>
            </w:r>
            <w:r>
              <w:rPr>
                <w:rFonts w:hint="eastAsia" w:ascii="Times New Roman" w:hAnsi="Times New Roman" w:cs="Times New Roman"/>
                <w:b/>
                <w:bCs/>
                <w:iCs/>
                <w:color w:val="0070C0"/>
              </w:rPr>
              <w:t>代表性论文</w:t>
            </w:r>
            <w:r>
              <w:rPr>
                <w:rFonts w:ascii="Times New Roman" w:hAnsi="Times New Roman" w:cs="Times New Roman"/>
                <w:b/>
                <w:bCs/>
                <w:iCs/>
                <w:color w:val="0070C0"/>
              </w:rPr>
              <w:t>2</w:t>
            </w:r>
            <w:r>
              <w:rPr>
                <w:rFonts w:hint="eastAsia" w:ascii="Times New Roman" w:hAnsi="Times New Roman" w:cs="Times New Roman"/>
                <w:b/>
              </w:rPr>
              <w:t>：</w:t>
            </w:r>
            <w:r>
              <w:rPr>
                <w:rFonts w:ascii="Times New Roman" w:hAnsi="Times New Roman" w:cs="Times New Roman"/>
                <w:b/>
              </w:rPr>
              <w:t>J Hepatol</w:t>
            </w:r>
            <w:r>
              <w:rPr>
                <w:rFonts w:hint="eastAsia" w:ascii="Times New Roman" w:hAnsi="Times New Roman" w:cs="Times New Roman"/>
                <w:b/>
              </w:rPr>
              <w:t>，</w:t>
            </w:r>
            <w:r>
              <w:rPr>
                <w:rFonts w:ascii="Times New Roman" w:hAnsi="Times New Roman" w:cs="Times New Roman"/>
                <w:b/>
              </w:rPr>
              <w:t>2014</w:t>
            </w:r>
            <w:r>
              <w:rPr>
                <w:rFonts w:hint="eastAsia" w:ascii="Times New Roman" w:hAnsi="Times New Roman" w:cs="Times New Roman"/>
                <w:b/>
              </w:rPr>
              <w:t>，</w:t>
            </w:r>
            <w:r>
              <w:rPr>
                <w:rFonts w:ascii="Times New Roman" w:hAnsi="Times New Roman" w:cs="Times New Roman"/>
                <w:b/>
              </w:rPr>
              <w:t>IF</w:t>
            </w:r>
            <w:r>
              <w:rPr>
                <w:rFonts w:hint="eastAsia" w:ascii="Times New Roman" w:hAnsi="Times New Roman" w:cs="Times New Roman"/>
                <w:b/>
              </w:rPr>
              <w:t>：</w:t>
            </w:r>
            <w:r>
              <w:rPr>
                <w:rFonts w:ascii="Times New Roman" w:hAnsi="Times New Roman" w:cs="Times New Roman"/>
                <w:b/>
              </w:rPr>
              <w:t>11.336</w:t>
            </w:r>
            <w:r>
              <w:rPr>
                <w:rFonts w:hint="eastAsia" w:ascii="Times New Roman" w:hAnsi="Times New Roman" w:cs="Times New Roman"/>
                <w:b/>
              </w:rPr>
              <w:t>，</w:t>
            </w:r>
            <w:r>
              <w:rPr>
                <w:rFonts w:ascii="Times New Roman" w:hAnsi="Times New Roman" w:cs="Times New Roman"/>
                <w:b/>
              </w:rPr>
              <w:t>SCI</w:t>
            </w:r>
            <w:r>
              <w:rPr>
                <w:rFonts w:hint="eastAsia" w:ascii="Times New Roman" w:hAnsi="Times New Roman" w:cs="Times New Roman"/>
                <w:b/>
              </w:rPr>
              <w:t>他引</w:t>
            </w:r>
            <w:r>
              <w:rPr>
                <w:rFonts w:ascii="Times New Roman" w:hAnsi="Times New Roman" w:cs="Times New Roman"/>
                <w:b/>
              </w:rPr>
              <w:t>34</w:t>
            </w:r>
            <w:r>
              <w:rPr>
                <w:rFonts w:hint="eastAsia" w:ascii="Times New Roman" w:hAnsi="Times New Roman" w:cs="Times New Roman"/>
                <w:b/>
              </w:rPr>
              <w:t>次</w:t>
            </w:r>
            <w:r>
              <w:rPr>
                <w:rFonts w:hint="eastAsia" w:ascii="Times New Roman" w:hAnsi="Times New Roman" w:cs="Times New Roman"/>
              </w:rPr>
              <w:t>）。</w:t>
            </w:r>
            <w:r>
              <w:rPr>
                <w:rFonts w:ascii="Times New Roman" w:hAnsi="Times New Roman" w:cs="Times New Roman"/>
              </w:rPr>
              <w:t>2</w:t>
            </w:r>
            <w:r>
              <w:rPr>
                <w:rFonts w:hint="eastAsia" w:ascii="Times New Roman" w:hAnsi="Times New Roman" w:cs="Times New Roman"/>
              </w:rPr>
              <w:t>）</w:t>
            </w:r>
            <w:r>
              <w:rPr>
                <w:rFonts w:hint="eastAsia" w:ascii="Times New Roman" w:hAnsi="Times New Roman" w:cs="Times New Roman"/>
                <w:color w:val="000000" w:themeColor="text1"/>
              </w:rPr>
              <w:t>肿瘤细胞脂肪酸代谢的异常改变，为肿瘤细胞的快速增殖提供了所需的物质和能量，同时也激活了细胞内多个增殖和生存相关的信号通路，在肿瘤的发生发展中发挥了重要作用。我们的研究首次发现</w:t>
            </w:r>
            <w:r>
              <w:rPr>
                <w:rFonts w:ascii="Times New Roman" w:hAnsi="Times New Roman" w:cs="Times New Roman"/>
                <w:color w:val="000000" w:themeColor="text1"/>
              </w:rPr>
              <w:t>CD147</w:t>
            </w:r>
            <w:r>
              <w:rPr>
                <w:rFonts w:hint="eastAsia" w:ascii="Times New Roman" w:hAnsi="Times New Roman" w:cs="Times New Roman"/>
                <w:color w:val="000000" w:themeColor="text1"/>
              </w:rPr>
              <w:t>在肝细胞的表达与脂肪酸代谢过程密切相关；</w:t>
            </w:r>
            <w:r>
              <w:rPr>
                <w:rFonts w:hint="eastAsia" w:ascii="Times New Roman" w:hAnsi="Times New Roman" w:cs="Times New Roman"/>
              </w:rPr>
              <w:t>发现</w:t>
            </w:r>
            <w:r>
              <w:rPr>
                <w:rFonts w:ascii="Times New Roman" w:hAnsi="Times New Roman" w:cs="Times New Roman"/>
              </w:rPr>
              <w:t>CD147</w:t>
            </w:r>
            <w:r>
              <w:rPr>
                <w:rFonts w:hint="eastAsia" w:ascii="Times New Roman" w:hAnsi="Times New Roman" w:cs="Times New Roman"/>
              </w:rPr>
              <w:t>→</w:t>
            </w:r>
            <w:r>
              <w:rPr>
                <w:rFonts w:ascii="Times New Roman" w:hAnsi="Times New Roman" w:cs="Times New Roman"/>
              </w:rPr>
              <w:t>AKT/mTOR</w:t>
            </w:r>
            <w:r>
              <w:rPr>
                <w:rFonts w:hint="eastAsia" w:ascii="Times New Roman" w:hAnsi="Times New Roman" w:cs="Times New Roman"/>
              </w:rPr>
              <w:t>→</w:t>
            </w:r>
            <w:r>
              <w:rPr>
                <w:rFonts w:ascii="Times New Roman" w:hAnsi="Times New Roman" w:cs="Times New Roman"/>
                <w:bCs/>
              </w:rPr>
              <w:t>SREBP1c</w:t>
            </w:r>
            <w:r>
              <w:rPr>
                <w:rFonts w:hint="eastAsia" w:ascii="Times New Roman" w:hAnsi="Times New Roman" w:cs="Times New Roman"/>
              </w:rPr>
              <w:t>信号通路调控肝癌细胞脂肪酸代谢，促进肝癌进展（</w:t>
            </w:r>
            <w:r>
              <w:rPr>
                <w:rFonts w:hint="eastAsia" w:ascii="Times New Roman" w:hAnsi="Times New Roman" w:cs="Times New Roman"/>
                <w:b/>
                <w:bCs/>
                <w:iCs/>
                <w:color w:val="0070C0"/>
              </w:rPr>
              <w:t>代表性论文</w:t>
            </w:r>
            <w:r>
              <w:rPr>
                <w:rFonts w:ascii="Times New Roman" w:hAnsi="Times New Roman" w:cs="Times New Roman"/>
                <w:b/>
                <w:bCs/>
                <w:iCs/>
                <w:color w:val="0070C0"/>
              </w:rPr>
              <w:t>3</w:t>
            </w:r>
            <w:r>
              <w:rPr>
                <w:rFonts w:hint="eastAsia" w:ascii="Times New Roman" w:hAnsi="Times New Roman" w:cs="Times New Roman"/>
                <w:b/>
              </w:rPr>
              <w:t>：</w:t>
            </w:r>
            <w:r>
              <w:rPr>
                <w:rFonts w:ascii="Times New Roman" w:hAnsi="Times New Roman" w:cs="Times New Roman"/>
                <w:b/>
              </w:rPr>
              <w:t>J Hepatol</w:t>
            </w:r>
            <w:r>
              <w:rPr>
                <w:rFonts w:hint="eastAsia" w:ascii="Times New Roman" w:hAnsi="Times New Roman" w:cs="Times New Roman"/>
                <w:b/>
              </w:rPr>
              <w:t>，</w:t>
            </w:r>
            <w:r>
              <w:rPr>
                <w:rFonts w:ascii="Times New Roman" w:hAnsi="Times New Roman" w:cs="Times New Roman"/>
                <w:b/>
              </w:rPr>
              <w:t>2015</w:t>
            </w:r>
            <w:r>
              <w:rPr>
                <w:rFonts w:hint="eastAsia" w:ascii="Times New Roman" w:hAnsi="Times New Roman" w:cs="Times New Roman"/>
                <w:b/>
              </w:rPr>
              <w:t>，</w:t>
            </w:r>
            <w:r>
              <w:rPr>
                <w:rFonts w:ascii="Times New Roman" w:hAnsi="Times New Roman" w:cs="Times New Roman"/>
                <w:b/>
              </w:rPr>
              <w:t>IF</w:t>
            </w:r>
            <w:r>
              <w:rPr>
                <w:rFonts w:hint="eastAsia" w:ascii="Times New Roman" w:hAnsi="Times New Roman" w:cs="Times New Roman"/>
                <w:b/>
              </w:rPr>
              <w:t>：</w:t>
            </w:r>
            <w:r>
              <w:rPr>
                <w:rFonts w:ascii="Times New Roman" w:hAnsi="Times New Roman" w:cs="Times New Roman"/>
                <w:b/>
              </w:rPr>
              <w:t>10.590</w:t>
            </w:r>
            <w:r>
              <w:rPr>
                <w:rFonts w:hint="eastAsia" w:ascii="Times New Roman" w:hAnsi="Times New Roman" w:cs="Times New Roman"/>
                <w:b/>
              </w:rPr>
              <w:t>，</w:t>
            </w:r>
            <w:r>
              <w:rPr>
                <w:rFonts w:ascii="Times New Roman" w:hAnsi="Times New Roman" w:cs="Times New Roman"/>
                <w:b/>
              </w:rPr>
              <w:t>SCI</w:t>
            </w:r>
            <w:r>
              <w:rPr>
                <w:rFonts w:hint="eastAsia" w:ascii="Times New Roman" w:hAnsi="Times New Roman" w:cs="Times New Roman"/>
                <w:b/>
              </w:rPr>
              <w:t>他引</w:t>
            </w:r>
            <w:r>
              <w:rPr>
                <w:rFonts w:ascii="Times New Roman" w:hAnsi="Times New Roman" w:cs="Times New Roman"/>
                <w:b/>
              </w:rPr>
              <w:t>23</w:t>
            </w:r>
            <w:r>
              <w:rPr>
                <w:rFonts w:hint="eastAsia" w:ascii="Times New Roman" w:hAnsi="Times New Roman" w:cs="Times New Roman"/>
                <w:b/>
              </w:rPr>
              <w:t>次</w:t>
            </w:r>
            <w:r>
              <w:rPr>
                <w:rFonts w:hint="eastAsia" w:ascii="Times New Roman" w:hAnsi="Times New Roman" w:cs="Times New Roman"/>
              </w:rPr>
              <w:t>）。</w:t>
            </w:r>
          </w:p>
          <w:p>
            <w:pPr>
              <w:pStyle w:val="22"/>
              <w:spacing w:line="400" w:lineRule="exact"/>
              <w:ind w:firstLine="482" w:firstLineChars="200"/>
              <w:jc w:val="both"/>
              <w:rPr>
                <w:rFonts w:ascii="Times New Roman" w:hAnsi="Times New Roman" w:cs="Times New Roman"/>
                <w:color w:val="000000" w:themeColor="text1"/>
              </w:rPr>
            </w:pPr>
            <w:r>
              <w:rPr>
                <w:rFonts w:ascii="Times New Roman" w:hAnsi="Times New Roman" w:eastAsia="黑体" w:cs="Times New Roman"/>
                <w:b/>
              </w:rPr>
              <w:t xml:space="preserve">2. </w:t>
            </w:r>
            <w:r>
              <w:rPr>
                <w:rFonts w:hint="eastAsia" w:ascii="Times New Roman" w:hAnsi="Times New Roman" w:eastAsia="黑体" w:cs="Times New Roman"/>
                <w:b/>
              </w:rPr>
              <w:t>发现</w:t>
            </w:r>
            <w:r>
              <w:rPr>
                <w:rFonts w:ascii="Times New Roman" w:hAnsi="Times New Roman" w:eastAsia="黑体" w:cs="Times New Roman"/>
                <w:b/>
              </w:rPr>
              <w:t>Basigin/CD147</w:t>
            </w:r>
            <w:r>
              <w:rPr>
                <w:rFonts w:hint="eastAsia" w:ascii="Times New Roman" w:hAnsi="Times New Roman" w:eastAsia="黑体" w:cs="Times New Roman"/>
                <w:b/>
              </w:rPr>
              <w:t>促进癌细胞恶性行为和放疗抵抗的新机理。</w:t>
            </w:r>
            <w:r>
              <w:rPr>
                <w:rFonts w:ascii="Times New Roman" w:hAnsi="Times New Roman" w:cs="Times New Roman"/>
              </w:rPr>
              <w:t>1</w:t>
            </w:r>
            <w:r>
              <w:rPr>
                <w:rFonts w:hint="eastAsia" w:ascii="Times New Roman" w:hAnsi="Times New Roman" w:cs="Times New Roman"/>
              </w:rPr>
              <w:t>）首次发现</w:t>
            </w:r>
            <w:r>
              <w:rPr>
                <w:rFonts w:ascii="Times New Roman" w:hAnsi="Times New Roman" w:cs="Times New Roman"/>
                <w:bCs/>
              </w:rPr>
              <w:t>TGF-β1-CD147</w:t>
            </w:r>
            <w:r>
              <w:rPr>
                <w:rFonts w:hint="eastAsia" w:ascii="Times New Roman" w:hAnsi="Times New Roman" w:cs="Times New Roman"/>
                <w:bCs/>
              </w:rPr>
              <w:t>正反馈环路诱导肝细胞上皮</w:t>
            </w:r>
            <w:r>
              <w:rPr>
                <w:rFonts w:ascii="Times New Roman" w:hAnsi="Times New Roman" w:cs="Times New Roman"/>
                <w:bCs/>
              </w:rPr>
              <w:t>-</w:t>
            </w:r>
            <w:r>
              <w:rPr>
                <w:rFonts w:hint="eastAsia" w:ascii="Times New Roman" w:hAnsi="Times New Roman" w:cs="Times New Roman"/>
                <w:bCs/>
              </w:rPr>
              <w:t>间质转化（</w:t>
            </w:r>
            <w:r>
              <w:rPr>
                <w:rFonts w:ascii="Times New Roman" w:hAnsi="Times New Roman" w:cs="Times New Roman"/>
                <w:bCs/>
              </w:rPr>
              <w:t>EMT</w:t>
            </w:r>
            <w:r>
              <w:rPr>
                <w:rFonts w:hint="eastAsia" w:ascii="Times New Roman" w:hAnsi="Times New Roman" w:cs="Times New Roman"/>
                <w:bCs/>
              </w:rPr>
              <w:t>）、肝癌细胞去分化，进而促进肝癌发展，</w:t>
            </w:r>
            <w:r>
              <w:rPr>
                <w:rFonts w:ascii="Times New Roman" w:hAnsi="Times New Roman" w:cs="Times New Roman"/>
              </w:rPr>
              <w:t>CD147</w:t>
            </w:r>
            <w:r>
              <w:rPr>
                <w:rFonts w:hint="eastAsia" w:ascii="Times New Roman" w:hAnsi="Times New Roman" w:cs="Times New Roman"/>
              </w:rPr>
              <w:t>可作为肝癌分化疗法的潜在靶点（</w:t>
            </w:r>
            <w:r>
              <w:rPr>
                <w:rFonts w:hint="eastAsia" w:ascii="Times New Roman" w:hAnsi="Times New Roman" w:cs="Times New Roman"/>
                <w:b/>
                <w:bCs/>
                <w:iCs/>
                <w:color w:val="0070C0"/>
              </w:rPr>
              <w:t>代表性论文</w:t>
            </w:r>
            <w:r>
              <w:rPr>
                <w:rFonts w:ascii="Times New Roman" w:hAnsi="Times New Roman" w:cs="Times New Roman"/>
                <w:b/>
                <w:bCs/>
                <w:iCs/>
                <w:color w:val="0070C0"/>
              </w:rPr>
              <w:t>5</w:t>
            </w:r>
            <w:r>
              <w:rPr>
                <w:rFonts w:hint="eastAsia" w:ascii="Times New Roman" w:hAnsi="Times New Roman" w:cs="Times New Roman"/>
                <w:b/>
              </w:rPr>
              <w:t>：</w:t>
            </w:r>
            <w:r>
              <w:rPr>
                <w:rFonts w:ascii="Times New Roman" w:hAnsi="Times New Roman" w:cs="Times New Roman"/>
                <w:b/>
              </w:rPr>
              <w:t>Oncogene</w:t>
            </w:r>
            <w:r>
              <w:rPr>
                <w:rFonts w:hint="eastAsia" w:ascii="Times New Roman" w:hAnsi="Times New Roman" w:cs="Times New Roman"/>
                <w:b/>
              </w:rPr>
              <w:t>，</w:t>
            </w:r>
            <w:r>
              <w:rPr>
                <w:rFonts w:ascii="Times New Roman" w:hAnsi="Times New Roman" w:cs="Times New Roman"/>
                <w:b/>
              </w:rPr>
              <w:t>2016</w:t>
            </w:r>
            <w:r>
              <w:rPr>
                <w:rFonts w:hint="eastAsia" w:ascii="Times New Roman" w:hAnsi="Times New Roman" w:cs="Times New Roman"/>
                <w:b/>
              </w:rPr>
              <w:t>，</w:t>
            </w:r>
            <w:r>
              <w:rPr>
                <w:rFonts w:ascii="Times New Roman" w:hAnsi="Times New Roman" w:cs="Times New Roman"/>
                <w:b/>
              </w:rPr>
              <w:t>IF</w:t>
            </w:r>
            <w:r>
              <w:rPr>
                <w:rFonts w:hint="eastAsia" w:ascii="Times New Roman" w:hAnsi="Times New Roman" w:cs="Times New Roman"/>
                <w:b/>
              </w:rPr>
              <w:t>：</w:t>
            </w:r>
            <w:r>
              <w:rPr>
                <w:rFonts w:ascii="Times New Roman" w:hAnsi="Times New Roman" w:cs="Times New Roman"/>
                <w:b/>
              </w:rPr>
              <w:t>7.519</w:t>
            </w:r>
            <w:r>
              <w:rPr>
                <w:rFonts w:hint="eastAsia" w:ascii="Times New Roman" w:hAnsi="Times New Roman" w:cs="Times New Roman"/>
              </w:rPr>
              <w:t>）。</w:t>
            </w:r>
            <w:r>
              <w:rPr>
                <w:rFonts w:ascii="Times New Roman" w:hAnsi="Times New Roman" w:cs="Times New Roman"/>
              </w:rPr>
              <w:t>2</w:t>
            </w:r>
            <w:r>
              <w:rPr>
                <w:rFonts w:hint="eastAsia" w:ascii="Times New Roman" w:hAnsi="Times New Roman" w:cs="Times New Roman"/>
              </w:rPr>
              <w:t>）</w:t>
            </w:r>
            <w:r>
              <w:rPr>
                <w:rFonts w:hint="eastAsia" w:ascii="Times New Roman" w:hAnsi="Times New Roman" w:cs="Times New Roman"/>
                <w:bCs/>
              </w:rPr>
              <w:t>首次发现</w:t>
            </w:r>
            <w:r>
              <w:rPr>
                <w:rFonts w:ascii="Times New Roman" w:hAnsi="Times New Roman" w:cs="Times New Roman"/>
                <w:bCs/>
              </w:rPr>
              <w:t>CD147</w:t>
            </w:r>
            <w:r>
              <w:rPr>
                <w:rFonts w:hint="eastAsia" w:ascii="Times New Roman" w:hAnsi="Times New Roman" w:cs="Times New Roman"/>
                <w:bCs/>
              </w:rPr>
              <w:t>通过其胞外近膜端与</w:t>
            </w:r>
            <w:r>
              <w:rPr>
                <w:rFonts w:ascii="Times New Roman" w:hAnsi="Times New Roman" w:cs="Times New Roman"/>
                <w:bCs/>
              </w:rPr>
              <w:t>integrinβ1</w:t>
            </w:r>
            <w:r>
              <w:rPr>
                <w:rFonts w:hint="eastAsia" w:ascii="Times New Roman" w:hAnsi="Times New Roman" w:cs="Times New Roman"/>
                <w:bCs/>
              </w:rPr>
              <w:t>亚基的二价阳离子结合位点（</w:t>
            </w:r>
            <w:r>
              <w:rPr>
                <w:rFonts w:ascii="Times New Roman" w:hAnsi="Times New Roman" w:cs="Times New Roman"/>
                <w:bCs/>
              </w:rPr>
              <w:t>MIDAS</w:t>
            </w:r>
            <w:r>
              <w:rPr>
                <w:rFonts w:hint="eastAsia" w:ascii="Times New Roman" w:hAnsi="Times New Roman" w:cs="Times New Roman"/>
                <w:bCs/>
              </w:rPr>
              <w:t>）相互作用，增强肝癌细胞恶性行为（</w:t>
            </w:r>
            <w:r>
              <w:rPr>
                <w:rFonts w:hint="eastAsia" w:ascii="Times New Roman" w:hAnsi="Times New Roman" w:cs="Times New Roman"/>
                <w:b/>
                <w:bCs/>
                <w:iCs/>
                <w:color w:val="0070C0"/>
              </w:rPr>
              <w:t>代表性论文</w:t>
            </w:r>
            <w:r>
              <w:rPr>
                <w:rFonts w:ascii="Times New Roman" w:hAnsi="Times New Roman" w:cs="Times New Roman"/>
                <w:b/>
                <w:bCs/>
                <w:iCs/>
                <w:color w:val="0070C0"/>
              </w:rPr>
              <w:t>7</w:t>
            </w:r>
            <w:r>
              <w:rPr>
                <w:rFonts w:hint="eastAsia" w:ascii="Times New Roman" w:hAnsi="Times New Roman" w:cs="Times New Roman"/>
                <w:b/>
              </w:rPr>
              <w:t>：</w:t>
            </w:r>
            <w:r>
              <w:rPr>
                <w:rFonts w:ascii="Times New Roman" w:hAnsi="Times New Roman" w:cs="Times New Roman"/>
                <w:b/>
              </w:rPr>
              <w:t>J Biol Chem</w:t>
            </w:r>
            <w:r>
              <w:rPr>
                <w:rFonts w:hint="eastAsia" w:ascii="Times New Roman" w:hAnsi="Times New Roman" w:cs="Times New Roman"/>
                <w:b/>
              </w:rPr>
              <w:t>，</w:t>
            </w:r>
            <w:r>
              <w:rPr>
                <w:rFonts w:ascii="Times New Roman" w:hAnsi="Times New Roman" w:cs="Times New Roman"/>
                <w:b/>
              </w:rPr>
              <w:t>2012</w:t>
            </w:r>
            <w:r>
              <w:rPr>
                <w:rFonts w:hint="eastAsia" w:ascii="Times New Roman" w:hAnsi="Times New Roman" w:cs="Times New Roman"/>
                <w:b/>
              </w:rPr>
              <w:t>，</w:t>
            </w:r>
            <w:r>
              <w:rPr>
                <w:rFonts w:ascii="Times New Roman" w:hAnsi="Times New Roman" w:cs="Times New Roman"/>
                <w:b/>
              </w:rPr>
              <w:t>IF</w:t>
            </w:r>
            <w:r>
              <w:rPr>
                <w:rFonts w:hint="eastAsia" w:ascii="Times New Roman" w:hAnsi="Times New Roman" w:cs="Times New Roman"/>
                <w:b/>
              </w:rPr>
              <w:t>：</w:t>
            </w:r>
            <w:r>
              <w:rPr>
                <w:rFonts w:ascii="Times New Roman" w:hAnsi="Times New Roman" w:cs="Times New Roman"/>
                <w:b/>
              </w:rPr>
              <w:t>4.773</w:t>
            </w:r>
            <w:r>
              <w:rPr>
                <w:rFonts w:hint="eastAsia" w:ascii="Times New Roman" w:hAnsi="Times New Roman" w:cs="Times New Roman"/>
                <w:b/>
              </w:rPr>
              <w:t>，</w:t>
            </w:r>
            <w:r>
              <w:rPr>
                <w:rFonts w:ascii="Times New Roman" w:hAnsi="Times New Roman" w:cs="Times New Roman"/>
                <w:b/>
              </w:rPr>
              <w:t>SCI</w:t>
            </w:r>
            <w:r>
              <w:rPr>
                <w:rFonts w:hint="eastAsia" w:ascii="Times New Roman" w:hAnsi="Times New Roman" w:cs="Times New Roman"/>
                <w:b/>
              </w:rPr>
              <w:t>他引</w:t>
            </w:r>
            <w:r>
              <w:rPr>
                <w:rFonts w:ascii="Times New Roman" w:hAnsi="Times New Roman" w:cs="Times New Roman"/>
                <w:b/>
              </w:rPr>
              <w:t>27</w:t>
            </w:r>
            <w:r>
              <w:rPr>
                <w:rFonts w:hint="eastAsia" w:ascii="Times New Roman" w:hAnsi="Times New Roman" w:cs="Times New Roman"/>
                <w:b/>
              </w:rPr>
              <w:t>次）</w:t>
            </w:r>
            <w:r>
              <w:rPr>
                <w:rFonts w:hint="eastAsia" w:ascii="Times New Roman" w:hAnsi="Times New Roman" w:cs="Times New Roman"/>
              </w:rPr>
              <w:t>。</w:t>
            </w:r>
            <w:r>
              <w:rPr>
                <w:rFonts w:hint="eastAsia" w:ascii="Times New Roman" w:hAnsi="Times New Roman" w:cs="Times New Roman"/>
                <w:bCs/>
                <w:color w:val="000000" w:themeColor="text1"/>
              </w:rPr>
              <w:t>该研究阐明了</w:t>
            </w:r>
            <w:r>
              <w:rPr>
                <w:rFonts w:ascii="Times New Roman" w:hAnsi="Times New Roman" w:cs="Times New Roman"/>
                <w:bCs/>
                <w:color w:val="000000" w:themeColor="text1"/>
              </w:rPr>
              <w:t>CD147</w:t>
            </w:r>
            <w:r>
              <w:rPr>
                <w:rFonts w:hint="eastAsia" w:ascii="Times New Roman" w:hAnsi="Times New Roman" w:cs="Times New Roman"/>
                <w:bCs/>
                <w:color w:val="000000" w:themeColor="text1"/>
              </w:rPr>
              <w:t>和</w:t>
            </w:r>
            <w:r>
              <w:rPr>
                <w:rFonts w:ascii="Times New Roman" w:hAnsi="Times New Roman" w:cs="Times New Roman"/>
                <w:bCs/>
                <w:color w:val="000000" w:themeColor="text1"/>
              </w:rPr>
              <w:t>integrinβ1</w:t>
            </w:r>
            <w:r>
              <w:rPr>
                <w:rFonts w:hint="eastAsia" w:ascii="Times New Roman" w:hAnsi="Times New Roman" w:cs="Times New Roman"/>
                <w:bCs/>
                <w:color w:val="000000" w:themeColor="text1"/>
              </w:rPr>
              <w:t>的相互作用在肝癌恶性行为中发挥的重要作用，有助于进一步了解肝癌相关分子网络，并为探索提高肝癌治疗效果提供一定的理论依据。</w:t>
            </w:r>
            <w:r>
              <w:rPr>
                <w:rFonts w:ascii="Times New Roman" w:hAnsi="Times New Roman" w:cs="Times New Roman"/>
              </w:rPr>
              <w:t>3</w:t>
            </w:r>
            <w:r>
              <w:rPr>
                <w:rFonts w:hint="eastAsia" w:ascii="Times New Roman" w:hAnsi="Times New Roman" w:cs="Times New Roman"/>
              </w:rPr>
              <w:t>）发现</w:t>
            </w:r>
            <w:r>
              <w:rPr>
                <w:rFonts w:ascii="Times New Roman" w:hAnsi="Times New Roman" w:cs="Times New Roman"/>
              </w:rPr>
              <w:t>CD147</w:t>
            </w:r>
            <w:r>
              <w:rPr>
                <w:rFonts w:hint="eastAsia" w:ascii="Times New Roman" w:hAnsi="Times New Roman" w:cs="Times New Roman"/>
              </w:rPr>
              <w:t>通过与</w:t>
            </w:r>
            <w:r>
              <w:rPr>
                <w:rFonts w:ascii="Times New Roman" w:hAnsi="Times New Roman" w:cs="Times New Roman"/>
              </w:rPr>
              <w:t>integrin β1</w:t>
            </w:r>
            <w:r>
              <w:rPr>
                <w:rFonts w:hint="eastAsia" w:ascii="Times New Roman" w:hAnsi="Times New Roman" w:cs="Times New Roman"/>
              </w:rPr>
              <w:t>相互作用，增强肿瘤细胞放疗抵抗，针对</w:t>
            </w:r>
            <w:r>
              <w:rPr>
                <w:rFonts w:ascii="Times New Roman" w:hAnsi="Times New Roman" w:cs="Times New Roman"/>
              </w:rPr>
              <w:t>CD147</w:t>
            </w:r>
            <w:r>
              <w:rPr>
                <w:rFonts w:hint="eastAsia" w:ascii="Times New Roman" w:hAnsi="Times New Roman" w:cs="Times New Roman"/>
              </w:rPr>
              <w:t>靶点的</w:t>
            </w:r>
            <w:r>
              <w:rPr>
                <w:rFonts w:ascii="Times New Roman" w:hAnsi="Times New Roman" w:cs="Times New Roman"/>
              </w:rPr>
              <w:t>HcHAb18</w:t>
            </w:r>
            <w:r>
              <w:rPr>
                <w:rFonts w:hint="eastAsia" w:ascii="Times New Roman" w:hAnsi="Times New Roman" w:cs="Times New Roman"/>
              </w:rPr>
              <w:t>单抗提高了放疗敏感性（</w:t>
            </w:r>
            <w:r>
              <w:rPr>
                <w:rFonts w:hint="eastAsia" w:ascii="Times New Roman" w:hAnsi="Times New Roman" w:cs="Times New Roman"/>
                <w:b/>
                <w:bCs/>
                <w:iCs/>
                <w:color w:val="0070C0"/>
              </w:rPr>
              <w:t>代表性论文</w:t>
            </w:r>
            <w:r>
              <w:rPr>
                <w:rFonts w:ascii="Times New Roman" w:hAnsi="Times New Roman" w:cs="Times New Roman"/>
                <w:b/>
                <w:bCs/>
                <w:iCs/>
                <w:color w:val="0070C0"/>
              </w:rPr>
              <w:t>6</w:t>
            </w:r>
            <w:r>
              <w:rPr>
                <w:rFonts w:hint="eastAsia" w:ascii="Times New Roman" w:hAnsi="Times New Roman" w:cs="Times New Roman"/>
                <w:b/>
              </w:rPr>
              <w:t>：</w:t>
            </w:r>
            <w:r>
              <w:rPr>
                <w:rFonts w:ascii="Times New Roman" w:hAnsi="Times New Roman" w:cs="Times New Roman"/>
                <w:b/>
              </w:rPr>
              <w:t>Mol Cancer Ther</w:t>
            </w:r>
            <w:r>
              <w:rPr>
                <w:rFonts w:hint="eastAsia" w:ascii="Times New Roman" w:hAnsi="Times New Roman" w:cs="Times New Roman"/>
                <w:b/>
              </w:rPr>
              <w:t>，</w:t>
            </w:r>
            <w:r>
              <w:rPr>
                <w:rFonts w:ascii="Times New Roman" w:hAnsi="Times New Roman" w:cs="Times New Roman"/>
                <w:b/>
              </w:rPr>
              <w:t>2015</w:t>
            </w:r>
            <w:r>
              <w:rPr>
                <w:rFonts w:hint="eastAsia" w:ascii="Times New Roman" w:hAnsi="Times New Roman" w:cs="Times New Roman"/>
                <w:b/>
              </w:rPr>
              <w:t>，</w:t>
            </w:r>
            <w:r>
              <w:rPr>
                <w:rFonts w:ascii="Times New Roman" w:hAnsi="Times New Roman" w:cs="Times New Roman"/>
                <w:b/>
              </w:rPr>
              <w:t>IF</w:t>
            </w:r>
            <w:r>
              <w:rPr>
                <w:rFonts w:hint="eastAsia" w:ascii="Times New Roman" w:hAnsi="Times New Roman" w:cs="Times New Roman"/>
                <w:b/>
              </w:rPr>
              <w:t>：</w:t>
            </w:r>
            <w:r>
              <w:rPr>
                <w:rFonts w:ascii="Times New Roman" w:hAnsi="Times New Roman" w:cs="Times New Roman"/>
                <w:b/>
              </w:rPr>
              <w:t>5.579</w:t>
            </w:r>
            <w:r>
              <w:rPr>
                <w:rFonts w:hint="eastAsia" w:ascii="Times New Roman" w:hAnsi="Times New Roman" w:cs="Times New Roman"/>
                <w:b/>
              </w:rPr>
              <w:t>，</w:t>
            </w:r>
            <w:r>
              <w:rPr>
                <w:rFonts w:ascii="Times New Roman" w:hAnsi="Times New Roman" w:cs="Times New Roman"/>
                <w:b/>
              </w:rPr>
              <w:t>SCI</w:t>
            </w:r>
            <w:r>
              <w:rPr>
                <w:rFonts w:hint="eastAsia" w:ascii="Times New Roman" w:hAnsi="Times New Roman" w:cs="Times New Roman"/>
                <w:b/>
              </w:rPr>
              <w:t>他引</w:t>
            </w:r>
            <w:r>
              <w:rPr>
                <w:rFonts w:ascii="Times New Roman" w:hAnsi="Times New Roman" w:cs="Times New Roman"/>
                <w:b/>
              </w:rPr>
              <w:t>14</w:t>
            </w:r>
            <w:r>
              <w:rPr>
                <w:rFonts w:hint="eastAsia" w:ascii="Times New Roman" w:hAnsi="Times New Roman" w:cs="Times New Roman"/>
                <w:b/>
              </w:rPr>
              <w:t>次</w:t>
            </w:r>
            <w:r>
              <w:rPr>
                <w:rFonts w:hint="eastAsia" w:ascii="Times New Roman" w:hAnsi="Times New Roman" w:cs="Times New Roman"/>
              </w:rPr>
              <w:t>）。</w:t>
            </w:r>
            <w:r>
              <w:rPr>
                <w:rFonts w:hint="eastAsia" w:ascii="Times New Roman" w:hAnsi="Times New Roman" w:cs="Times New Roman"/>
                <w:color w:val="000000" w:themeColor="text1"/>
              </w:rPr>
              <w:t>该发现提示通过抑制</w:t>
            </w:r>
            <w:r>
              <w:rPr>
                <w:rFonts w:ascii="Times New Roman" w:hAnsi="Times New Roman" w:cs="Times New Roman"/>
                <w:color w:val="000000" w:themeColor="text1"/>
              </w:rPr>
              <w:t>CD147</w:t>
            </w:r>
            <w:r>
              <w:rPr>
                <w:rFonts w:hint="eastAsia" w:ascii="Times New Roman" w:hAnsi="Times New Roman" w:cs="Times New Roman"/>
                <w:color w:val="000000" w:themeColor="text1"/>
              </w:rPr>
              <w:t>与</w:t>
            </w:r>
            <w:r>
              <w:rPr>
                <w:rFonts w:ascii="Times New Roman" w:hAnsi="Times New Roman" w:cs="Times New Roman"/>
                <w:color w:val="000000" w:themeColor="text1"/>
              </w:rPr>
              <w:t xml:space="preserve">integrin β1 </w:t>
            </w:r>
            <w:r>
              <w:rPr>
                <w:rFonts w:hint="eastAsia" w:ascii="Times New Roman" w:hAnsi="Times New Roman" w:cs="Times New Roman"/>
                <w:color w:val="000000" w:themeColor="text1"/>
              </w:rPr>
              <w:t>作用提高肝癌放疗敏感度可能是肝癌治疗的一种新途径。</w:t>
            </w:r>
          </w:p>
          <w:p>
            <w:pPr>
              <w:pStyle w:val="22"/>
              <w:spacing w:line="400" w:lineRule="exact"/>
              <w:ind w:firstLine="482" w:firstLineChars="200"/>
              <w:jc w:val="both"/>
              <w:rPr>
                <w:rFonts w:ascii="Times New Roman" w:hAnsi="Times New Roman" w:cs="Times New Roman"/>
                <w:color w:val="000000" w:themeColor="text1"/>
              </w:rPr>
            </w:pPr>
            <w:r>
              <w:rPr>
                <w:rFonts w:ascii="Times New Roman" w:hAnsi="Times New Roman" w:cs="Times New Roman"/>
                <w:b/>
                <w:color w:val="000000" w:themeColor="text1"/>
              </w:rPr>
              <w:t>3</w:t>
            </w:r>
            <w:r>
              <w:rPr>
                <w:rFonts w:ascii="Times New Roman" w:hAnsi="Times New Roman" w:eastAsia="黑体" w:cs="Times New Roman"/>
                <w:b/>
              </w:rPr>
              <w:t xml:space="preserve">. </w:t>
            </w:r>
            <w:r>
              <w:rPr>
                <w:rFonts w:hint="eastAsia" w:ascii="Times New Roman" w:hAnsi="Times New Roman" w:eastAsia="黑体" w:cs="Times New Roman"/>
                <w:b/>
              </w:rPr>
              <w:t>阐明了</w:t>
            </w:r>
            <w:r>
              <w:rPr>
                <w:rFonts w:ascii="Times New Roman" w:hAnsi="Times New Roman" w:eastAsia="黑体" w:cs="Times New Roman"/>
                <w:b/>
              </w:rPr>
              <w:t>Basigin/CD147</w:t>
            </w:r>
            <w:r>
              <w:rPr>
                <w:rFonts w:hint="eastAsia" w:ascii="Times New Roman" w:hAnsi="Times New Roman" w:eastAsia="黑体" w:cs="Times New Roman"/>
                <w:b/>
              </w:rPr>
              <w:t>的表观遗传修饰促癌的分子机制。</w:t>
            </w:r>
            <w:r>
              <w:rPr>
                <w:rFonts w:ascii="Times New Roman" w:hAnsi="Times New Roman" w:cs="Times New Roman"/>
              </w:rPr>
              <w:t>1</w:t>
            </w:r>
            <w:r>
              <w:rPr>
                <w:rFonts w:hint="eastAsia" w:ascii="Times New Roman" w:hAnsi="Times New Roman" w:cs="Times New Roman"/>
              </w:rPr>
              <w:t>）我们发现肿瘤细胞高表达</w:t>
            </w:r>
            <w:r>
              <w:rPr>
                <w:rFonts w:ascii="Times New Roman" w:hAnsi="Times New Roman" w:cs="Times New Roman"/>
              </w:rPr>
              <w:t>CD147</w:t>
            </w:r>
            <w:r>
              <w:rPr>
                <w:rFonts w:hint="eastAsia" w:ascii="Times New Roman" w:hAnsi="Times New Roman" w:cs="Times New Roman"/>
              </w:rPr>
              <w:t>与乳腺癌的侵袭转移相关。阐明了</w:t>
            </w:r>
            <w:r>
              <w:rPr>
                <w:rFonts w:ascii="Times New Roman" w:hAnsi="Times New Roman" w:cs="Times New Roman"/>
              </w:rPr>
              <w:t>miR-22/Sp1/c-Myc</w:t>
            </w:r>
            <w:r>
              <w:rPr>
                <w:rFonts w:hint="eastAsia" w:ascii="Times New Roman" w:hAnsi="Times New Roman" w:cs="Times New Roman"/>
              </w:rPr>
              <w:t>环路调控</w:t>
            </w:r>
            <w:r>
              <w:rPr>
                <w:rFonts w:ascii="Times New Roman" w:hAnsi="Times New Roman" w:cs="Times New Roman"/>
              </w:rPr>
              <w:t>CD147</w:t>
            </w:r>
            <w:r>
              <w:rPr>
                <w:rFonts w:hint="eastAsia" w:ascii="Times New Roman" w:hAnsi="Times New Roman" w:cs="Times New Roman"/>
              </w:rPr>
              <w:t>表达促进乳腺癌进展的分子新机制。同时发现，过表达</w:t>
            </w:r>
            <w:r>
              <w:rPr>
                <w:rFonts w:ascii="Times New Roman" w:hAnsi="Times New Roman" w:cs="Times New Roman"/>
              </w:rPr>
              <w:t>miR-22</w:t>
            </w:r>
            <w:r>
              <w:rPr>
                <w:rFonts w:hint="eastAsia" w:ascii="Times New Roman" w:hAnsi="Times New Roman" w:cs="Times New Roman"/>
              </w:rPr>
              <w:t>能够通过靶向</w:t>
            </w:r>
            <w:r>
              <w:rPr>
                <w:rFonts w:ascii="Times New Roman" w:hAnsi="Times New Roman" w:cs="Times New Roman"/>
              </w:rPr>
              <w:t>CD147</w:t>
            </w:r>
            <w:r>
              <w:rPr>
                <w:rFonts w:hint="eastAsia" w:ascii="Times New Roman" w:hAnsi="Times New Roman" w:cs="Times New Roman"/>
              </w:rPr>
              <w:t>，在体内外抑制肿瘤细胞的侵袭、转移及增殖。</w:t>
            </w:r>
            <w:r>
              <w:rPr>
                <w:rFonts w:ascii="Times New Roman" w:hAnsi="Times New Roman" w:cs="Times New Roman"/>
              </w:rPr>
              <w:t>miR-22</w:t>
            </w:r>
            <w:r>
              <w:rPr>
                <w:rFonts w:hint="eastAsia" w:ascii="Times New Roman" w:hAnsi="Times New Roman" w:cs="Times New Roman"/>
              </w:rPr>
              <w:t>在肿瘤组织中表达下调，其表达与肿瘤</w:t>
            </w:r>
            <w:r>
              <w:rPr>
                <w:rFonts w:ascii="Times New Roman" w:hAnsi="Times New Roman" w:cs="Times New Roman"/>
              </w:rPr>
              <w:t>TNM</w:t>
            </w:r>
            <w:r>
              <w:rPr>
                <w:rFonts w:hint="eastAsia" w:ascii="Times New Roman" w:hAnsi="Times New Roman" w:cs="Times New Roman"/>
              </w:rPr>
              <w:t>分期及淋巴结转移负相关。（</w:t>
            </w:r>
            <w:r>
              <w:rPr>
                <w:rFonts w:hint="eastAsia" w:ascii="Times New Roman" w:hAnsi="Times New Roman" w:cs="Times New Roman"/>
                <w:b/>
                <w:bCs/>
                <w:iCs/>
                <w:color w:val="0070C0"/>
              </w:rPr>
              <w:t>代表性论文</w:t>
            </w:r>
            <w:r>
              <w:rPr>
                <w:rFonts w:ascii="Times New Roman" w:hAnsi="Times New Roman" w:cs="Times New Roman"/>
                <w:b/>
                <w:bCs/>
                <w:iCs/>
                <w:color w:val="0070C0"/>
              </w:rPr>
              <w:t>4</w:t>
            </w:r>
            <w:r>
              <w:rPr>
                <w:rFonts w:hint="eastAsia" w:ascii="Times New Roman" w:hAnsi="Times New Roman" w:cs="Times New Roman"/>
                <w:b/>
              </w:rPr>
              <w:t>：</w:t>
            </w:r>
            <w:r>
              <w:rPr>
                <w:rFonts w:ascii="Times New Roman" w:hAnsi="Times New Roman" w:cs="Times New Roman"/>
                <w:b/>
              </w:rPr>
              <w:t>Cancer Res</w:t>
            </w:r>
            <w:r>
              <w:rPr>
                <w:rFonts w:hint="eastAsia" w:ascii="Times New Roman" w:hAnsi="Times New Roman" w:cs="Times New Roman"/>
                <w:b/>
              </w:rPr>
              <w:t>，</w:t>
            </w:r>
            <w:r>
              <w:rPr>
                <w:rFonts w:ascii="Times New Roman" w:hAnsi="Times New Roman" w:cs="Times New Roman"/>
                <w:b/>
              </w:rPr>
              <w:t>2014</w:t>
            </w:r>
            <w:r>
              <w:rPr>
                <w:rFonts w:hint="eastAsia" w:ascii="Times New Roman" w:hAnsi="Times New Roman" w:cs="Times New Roman"/>
                <w:b/>
              </w:rPr>
              <w:t>，</w:t>
            </w:r>
            <w:r>
              <w:rPr>
                <w:rFonts w:ascii="Times New Roman" w:hAnsi="Times New Roman" w:cs="Times New Roman"/>
                <w:b/>
              </w:rPr>
              <w:t>IF</w:t>
            </w:r>
            <w:r>
              <w:rPr>
                <w:rFonts w:hint="eastAsia" w:ascii="Times New Roman" w:hAnsi="Times New Roman" w:cs="Times New Roman"/>
                <w:b/>
              </w:rPr>
              <w:t>：</w:t>
            </w:r>
            <w:r>
              <w:rPr>
                <w:rFonts w:ascii="Times New Roman" w:hAnsi="Times New Roman" w:cs="Times New Roman"/>
                <w:b/>
              </w:rPr>
              <w:t>9.329</w:t>
            </w:r>
            <w:r>
              <w:rPr>
                <w:rFonts w:hint="eastAsia" w:ascii="Times New Roman" w:hAnsi="Times New Roman" w:cs="Times New Roman"/>
                <w:b/>
              </w:rPr>
              <w:t>，</w:t>
            </w:r>
            <w:r>
              <w:rPr>
                <w:rFonts w:ascii="Times New Roman" w:hAnsi="Times New Roman" w:cs="Times New Roman"/>
                <w:b/>
              </w:rPr>
              <w:t>SCI</w:t>
            </w:r>
            <w:r>
              <w:rPr>
                <w:rFonts w:hint="eastAsia" w:ascii="Times New Roman" w:hAnsi="Times New Roman" w:cs="Times New Roman"/>
                <w:b/>
              </w:rPr>
              <w:t>他引</w:t>
            </w:r>
            <w:r>
              <w:rPr>
                <w:rFonts w:ascii="Times New Roman" w:hAnsi="Times New Roman" w:cs="Times New Roman"/>
                <w:b/>
              </w:rPr>
              <w:t>72</w:t>
            </w:r>
            <w:r>
              <w:rPr>
                <w:rFonts w:hint="eastAsia" w:ascii="Times New Roman" w:hAnsi="Times New Roman" w:cs="Times New Roman"/>
                <w:b/>
              </w:rPr>
              <w:t>次</w:t>
            </w:r>
            <w:r>
              <w:rPr>
                <w:rFonts w:hint="eastAsia" w:ascii="Times New Roman" w:hAnsi="Times New Roman" w:cs="Times New Roman"/>
              </w:rPr>
              <w:t>）。</w:t>
            </w:r>
            <w:r>
              <w:rPr>
                <w:rFonts w:ascii="Times New Roman" w:hAnsi="Times New Roman" w:cs="Times New Roman"/>
              </w:rPr>
              <w:t>2</w:t>
            </w:r>
            <w:r>
              <w:rPr>
                <w:rFonts w:hint="eastAsia" w:ascii="Times New Roman" w:hAnsi="Times New Roman" w:cs="Times New Roman"/>
              </w:rPr>
              <w:t>）阐明肝癌中</w:t>
            </w:r>
            <w:r>
              <w:rPr>
                <w:rFonts w:ascii="Times New Roman" w:hAnsi="Times New Roman" w:cs="Times New Roman"/>
              </w:rPr>
              <w:t>CD147</w:t>
            </w:r>
            <w:r>
              <w:rPr>
                <w:rFonts w:hint="eastAsia" w:ascii="Times New Roman" w:hAnsi="Times New Roman" w:cs="Times New Roman"/>
              </w:rPr>
              <w:t>启动子低甲基化（</w:t>
            </w:r>
            <w:r>
              <w:rPr>
                <w:rFonts w:ascii="Times New Roman" w:hAnsi="Times New Roman" w:cs="Times New Roman"/>
              </w:rPr>
              <w:t>-340~+37</w:t>
            </w:r>
            <w:r>
              <w:rPr>
                <w:rFonts w:hint="eastAsia" w:ascii="Times New Roman" w:hAnsi="Times New Roman" w:cs="Times New Roman"/>
              </w:rPr>
              <w:t>，</w:t>
            </w:r>
            <w:r>
              <w:rPr>
                <w:rFonts w:ascii="Times New Roman" w:hAnsi="Times New Roman" w:cs="Times New Roman"/>
              </w:rPr>
              <w:t>46CpG</w:t>
            </w:r>
            <w:r>
              <w:rPr>
                <w:rFonts w:hint="eastAsia" w:ascii="Times New Roman" w:hAnsi="Times New Roman" w:cs="Times New Roman"/>
              </w:rPr>
              <w:t>）增强了转录因子</w:t>
            </w:r>
            <w:r>
              <w:rPr>
                <w:rFonts w:ascii="Times New Roman" w:hAnsi="Times New Roman" w:cs="Times New Roman"/>
              </w:rPr>
              <w:t>SP1</w:t>
            </w:r>
            <w:r>
              <w:rPr>
                <w:rFonts w:hint="eastAsia" w:ascii="Times New Roman" w:hAnsi="Times New Roman" w:cs="Times New Roman"/>
              </w:rPr>
              <w:t>结合位点活性，促进</w:t>
            </w:r>
            <w:r>
              <w:rPr>
                <w:rFonts w:ascii="Times New Roman" w:hAnsi="Times New Roman" w:cs="Times New Roman"/>
              </w:rPr>
              <w:t>CD147</w:t>
            </w:r>
            <w:r>
              <w:rPr>
                <w:rFonts w:hint="eastAsia" w:ascii="Times New Roman" w:hAnsi="Times New Roman" w:cs="Times New Roman"/>
              </w:rPr>
              <w:t>高表达，且与肝癌预后差相关（</w:t>
            </w:r>
            <w:r>
              <w:rPr>
                <w:rFonts w:hint="eastAsia" w:ascii="Times New Roman" w:hAnsi="Times New Roman" w:cs="Times New Roman"/>
                <w:b/>
                <w:bCs/>
                <w:iCs/>
                <w:color w:val="0070C0"/>
              </w:rPr>
              <w:t>代表性论文</w:t>
            </w:r>
            <w:r>
              <w:rPr>
                <w:rFonts w:ascii="Times New Roman" w:hAnsi="Times New Roman" w:cs="Times New Roman"/>
                <w:b/>
                <w:bCs/>
                <w:iCs/>
                <w:color w:val="0070C0"/>
              </w:rPr>
              <w:t>8</w:t>
            </w:r>
            <w:r>
              <w:rPr>
                <w:rFonts w:hint="eastAsia" w:ascii="Times New Roman" w:hAnsi="Times New Roman" w:cs="Times New Roman"/>
                <w:b/>
              </w:rPr>
              <w:t>：</w:t>
            </w:r>
            <w:r>
              <w:rPr>
                <w:rFonts w:ascii="Times New Roman" w:hAnsi="Times New Roman" w:cs="Times New Roman"/>
                <w:b/>
              </w:rPr>
              <w:t>J Cell Mol Med</w:t>
            </w:r>
            <w:r>
              <w:rPr>
                <w:rFonts w:hint="eastAsia" w:ascii="Times New Roman" w:hAnsi="Times New Roman" w:cs="Times New Roman"/>
                <w:b/>
              </w:rPr>
              <w:t>，</w:t>
            </w:r>
            <w:r>
              <w:rPr>
                <w:rFonts w:ascii="Times New Roman" w:hAnsi="Times New Roman" w:cs="Times New Roman"/>
                <w:b/>
              </w:rPr>
              <w:t>2011</w:t>
            </w:r>
            <w:r>
              <w:rPr>
                <w:rFonts w:hint="eastAsia" w:ascii="Times New Roman" w:hAnsi="Times New Roman" w:cs="Times New Roman"/>
                <w:b/>
              </w:rPr>
              <w:t>，</w:t>
            </w:r>
            <w:r>
              <w:rPr>
                <w:rFonts w:ascii="Times New Roman" w:hAnsi="Times New Roman" w:cs="Times New Roman"/>
                <w:b/>
              </w:rPr>
              <w:t>IF</w:t>
            </w:r>
            <w:r>
              <w:rPr>
                <w:rFonts w:hint="eastAsia" w:ascii="Times New Roman" w:hAnsi="Times New Roman" w:cs="Times New Roman"/>
                <w:b/>
              </w:rPr>
              <w:t>：</w:t>
            </w:r>
            <w:r>
              <w:rPr>
                <w:rFonts w:ascii="Times New Roman" w:hAnsi="Times New Roman" w:cs="Times New Roman"/>
                <w:b/>
              </w:rPr>
              <w:t>4.608</w:t>
            </w:r>
            <w:r>
              <w:rPr>
                <w:rFonts w:hint="eastAsia" w:ascii="Times New Roman" w:hAnsi="Times New Roman" w:cs="Times New Roman"/>
                <w:b/>
              </w:rPr>
              <w:t>，</w:t>
            </w:r>
            <w:r>
              <w:rPr>
                <w:rFonts w:ascii="Times New Roman" w:hAnsi="Times New Roman" w:cs="Times New Roman"/>
                <w:b/>
              </w:rPr>
              <w:t>SCI</w:t>
            </w:r>
            <w:r>
              <w:rPr>
                <w:rFonts w:hint="eastAsia" w:ascii="Times New Roman" w:hAnsi="Times New Roman" w:cs="Times New Roman"/>
                <w:b/>
              </w:rPr>
              <w:t>他引</w:t>
            </w:r>
            <w:r>
              <w:rPr>
                <w:rFonts w:ascii="Times New Roman" w:hAnsi="Times New Roman" w:cs="Times New Roman"/>
                <w:b/>
              </w:rPr>
              <w:t>31</w:t>
            </w:r>
            <w:r>
              <w:rPr>
                <w:rFonts w:hint="eastAsia" w:ascii="Times New Roman" w:hAnsi="Times New Roman" w:cs="Times New Roman"/>
                <w:b/>
              </w:rPr>
              <w:t>次</w:t>
            </w:r>
            <w:r>
              <w:rPr>
                <w:rFonts w:hint="eastAsia" w:ascii="Times New Roman" w:hAnsi="Times New Roman" w:cs="Times New Roman"/>
              </w:rPr>
              <w:t>）。</w:t>
            </w:r>
            <w:r>
              <w:rPr>
                <w:rFonts w:hint="eastAsia" w:ascii="Times New Roman" w:hAnsi="Times New Roman" w:cs="Times New Roman"/>
                <w:color w:val="000000" w:themeColor="text1"/>
              </w:rPr>
              <w:t>该发现有助于我们进一步理解肝癌发生发展的分子机制。</w:t>
            </w:r>
            <w:r>
              <w:rPr>
                <w:rFonts w:ascii="Times New Roman" w:hAnsi="Times New Roman" w:cs="Times New Roman"/>
                <w:color w:val="000000" w:themeColor="text1"/>
              </w:rPr>
              <w:t>CD147</w:t>
            </w:r>
            <w:r>
              <w:rPr>
                <w:rFonts w:hint="eastAsia" w:ascii="Times New Roman" w:hAnsi="Times New Roman" w:cs="Times New Roman"/>
                <w:color w:val="000000" w:themeColor="text1"/>
              </w:rPr>
              <w:t>低甲基化水平与肝癌患者预后不良存在正相关性，提示检测</w:t>
            </w:r>
            <w:r>
              <w:rPr>
                <w:rFonts w:ascii="Times New Roman" w:hAnsi="Times New Roman" w:cs="Times New Roman"/>
                <w:color w:val="000000" w:themeColor="text1"/>
              </w:rPr>
              <w:t>CD147</w:t>
            </w:r>
            <w:r>
              <w:rPr>
                <w:rFonts w:hint="eastAsia" w:ascii="Times New Roman" w:hAnsi="Times New Roman" w:cs="Times New Roman"/>
                <w:color w:val="000000" w:themeColor="text1"/>
              </w:rPr>
              <w:t>基因启动子区甲基化状态，可用于肝癌的辅助诊断，监测肝癌患者的预后及治疗反应。干预</w:t>
            </w:r>
            <w:r>
              <w:rPr>
                <w:rFonts w:ascii="Times New Roman" w:hAnsi="Times New Roman" w:cs="Times New Roman"/>
                <w:color w:val="000000" w:themeColor="text1"/>
              </w:rPr>
              <w:t>CD147</w:t>
            </w:r>
            <w:r>
              <w:rPr>
                <w:rFonts w:hint="eastAsia" w:ascii="Times New Roman" w:hAnsi="Times New Roman" w:cs="Times New Roman"/>
                <w:color w:val="000000" w:themeColor="text1"/>
              </w:rPr>
              <w:t>启动子区甲基化，可作为肿瘤治疗的一种新策略。</w:t>
            </w:r>
          </w:p>
          <w:p>
            <w:pPr>
              <w:pStyle w:val="22"/>
              <w:spacing w:line="400" w:lineRule="exact"/>
              <w:ind w:firstLine="482" w:firstLineChars="200"/>
              <w:jc w:val="both"/>
              <w:rPr>
                <w:rFonts w:ascii="Times New Roman" w:hAnsi="Times New Roman" w:eastAsia="黑体" w:cs="Times New Roman"/>
                <w:b/>
              </w:rPr>
            </w:pPr>
            <w:r>
              <w:rPr>
                <w:rFonts w:ascii="Times New Roman" w:hAnsi="Times New Roman" w:eastAsia="黑体" w:cs="Times New Roman"/>
                <w:b/>
              </w:rPr>
              <w:t>4</w:t>
            </w:r>
            <w:r>
              <w:rPr>
                <w:rFonts w:hint="eastAsia" w:ascii="Times New Roman" w:hAnsi="Times New Roman" w:eastAsia="黑体" w:cs="Times New Roman"/>
                <w:b/>
              </w:rPr>
              <w:t>．实现了</w:t>
            </w:r>
            <w:r>
              <w:rPr>
                <w:rFonts w:ascii="Times New Roman" w:hAnsi="Times New Roman" w:eastAsia="黑体" w:cs="Times New Roman"/>
                <w:b/>
              </w:rPr>
              <w:t>Basigin/CD147</w:t>
            </w:r>
            <w:r>
              <w:rPr>
                <w:rFonts w:hint="eastAsia" w:ascii="Times New Roman" w:hAnsi="Times New Roman" w:eastAsia="黑体" w:cs="Times New Roman"/>
                <w:b/>
              </w:rPr>
              <w:t>靶点抗肝、肺恶性肿瘤抗体药物的临床转化。</w:t>
            </w:r>
            <w:r>
              <w:rPr>
                <w:rFonts w:hint="eastAsia" w:ascii="Times New Roman" w:hAnsi="Times New Roman" w:cs="Times New Roman"/>
              </w:rPr>
              <w:t>1）原创性构建了</w:t>
            </w:r>
            <w:r>
              <w:rPr>
                <w:rFonts w:ascii="Times New Roman" w:hAnsi="Times New Roman" w:cs="Times New Roman"/>
              </w:rPr>
              <w:t>CD147</w:t>
            </w:r>
            <w:r>
              <w:rPr>
                <w:rFonts w:hint="eastAsia" w:ascii="Times New Roman" w:hAnsi="Times New Roman" w:cs="Times New Roman"/>
              </w:rPr>
              <w:t>为靶点的人源化修饰型嵌合抗体</w:t>
            </w:r>
            <w:r>
              <w:rPr>
                <w:rFonts w:ascii="Times New Roman" w:hAnsi="Times New Roman" w:cs="Times New Roman"/>
              </w:rPr>
              <w:t>——</w:t>
            </w:r>
            <w:r>
              <w:rPr>
                <w:rFonts w:hint="eastAsia" w:ascii="Times New Roman" w:hAnsi="Times New Roman" w:cs="Times New Roman"/>
              </w:rPr>
              <w:t>美妥珠单抗，经糖基化改造，具有增强的</w:t>
            </w:r>
            <w:r>
              <w:rPr>
                <w:rFonts w:ascii="Times New Roman" w:hAnsi="Times New Roman" w:cs="Times New Roman"/>
              </w:rPr>
              <w:t>ADCC</w:t>
            </w:r>
            <w:r>
              <w:rPr>
                <w:rFonts w:hint="eastAsia" w:ascii="Times New Roman" w:hAnsi="Times New Roman" w:cs="Times New Roman"/>
              </w:rPr>
              <w:t>效应，用于肺癌的靶向治疗（</w:t>
            </w:r>
            <w:r>
              <w:rPr>
                <w:rFonts w:hint="eastAsia" w:ascii="Times New Roman" w:hAnsi="Times New Roman" w:cs="Times New Roman"/>
                <w:b/>
                <w:bCs/>
                <w:iCs/>
                <w:color w:val="0070C0"/>
              </w:rPr>
              <w:t>美国专利授权</w:t>
            </w:r>
            <w:r>
              <w:rPr>
                <w:rFonts w:ascii="Times New Roman" w:hAnsi="Times New Roman" w:cs="Times New Roman"/>
                <w:b/>
                <w:bCs/>
                <w:iCs/>
                <w:color w:val="0070C0"/>
              </w:rPr>
              <w:t xml:space="preserve"> US9963506</w:t>
            </w:r>
            <w:r>
              <w:rPr>
                <w:rFonts w:hint="eastAsia" w:ascii="Times New Roman" w:hAnsi="Times New Roman" w:cs="Times New Roman"/>
                <w:b/>
                <w:bCs/>
                <w:iCs/>
                <w:color w:val="0070C0"/>
              </w:rPr>
              <w:t>、国家发明专利授权</w:t>
            </w:r>
            <w:r>
              <w:rPr>
                <w:rFonts w:ascii="Times New Roman" w:hAnsi="Times New Roman" w:cs="Times New Roman"/>
                <w:b/>
                <w:bCs/>
                <w:iCs/>
                <w:color w:val="0070C0"/>
              </w:rPr>
              <w:t xml:space="preserve"> ZL201410320878.3</w:t>
            </w:r>
            <w:r>
              <w:rPr>
                <w:rFonts w:hint="eastAsia" w:ascii="Times New Roman" w:hAnsi="Times New Roman" w:cs="Times New Roman"/>
                <w:b/>
              </w:rPr>
              <w:t>、</w:t>
            </w:r>
            <w:r>
              <w:rPr>
                <w:rFonts w:ascii="Times New Roman" w:hAnsi="Times New Roman" w:cs="Times New Roman"/>
                <w:b/>
              </w:rPr>
              <w:t>Mol Cancer Ther</w:t>
            </w:r>
            <w:r>
              <w:rPr>
                <w:rFonts w:hint="eastAsia" w:ascii="Times New Roman" w:hAnsi="Times New Roman" w:cs="Times New Roman"/>
                <w:b/>
              </w:rPr>
              <w:t>，</w:t>
            </w:r>
            <w:r>
              <w:rPr>
                <w:rFonts w:ascii="Times New Roman" w:hAnsi="Times New Roman" w:cs="Times New Roman"/>
                <w:b/>
              </w:rPr>
              <w:t>2015</w:t>
            </w:r>
            <w:r>
              <w:rPr>
                <w:rFonts w:hint="eastAsia" w:ascii="Times New Roman" w:hAnsi="Times New Roman" w:cs="Times New Roman"/>
                <w:b/>
              </w:rPr>
              <w:t>，</w:t>
            </w:r>
            <w:r>
              <w:rPr>
                <w:rFonts w:ascii="Times New Roman" w:hAnsi="Times New Roman" w:cs="Times New Roman"/>
                <w:b/>
              </w:rPr>
              <w:t>IF</w:t>
            </w:r>
            <w:r>
              <w:rPr>
                <w:rFonts w:hint="eastAsia" w:ascii="Times New Roman" w:hAnsi="Times New Roman" w:cs="Times New Roman"/>
                <w:b/>
              </w:rPr>
              <w:t>：</w:t>
            </w:r>
            <w:r>
              <w:rPr>
                <w:rFonts w:ascii="Times New Roman" w:hAnsi="Times New Roman" w:cs="Times New Roman"/>
                <w:b/>
              </w:rPr>
              <w:t>5.579</w:t>
            </w:r>
            <w:r>
              <w:rPr>
                <w:rFonts w:hint="eastAsia" w:ascii="Times New Roman" w:hAnsi="Times New Roman" w:cs="Times New Roman"/>
              </w:rPr>
              <w:t>）。美妥珠单抗注射液具有高效、低毒的特点，</w:t>
            </w:r>
            <w:r>
              <w:rPr>
                <w:rFonts w:hint="eastAsia" w:ascii="Times New Roman" w:hAnsi="Times New Roman" w:cs="Times New Roman"/>
                <w:b/>
                <w:bCs/>
              </w:rPr>
              <w:t>于</w:t>
            </w:r>
            <w:r>
              <w:rPr>
                <w:rFonts w:ascii="Times New Roman" w:hAnsi="Times New Roman" w:cs="Times New Roman"/>
                <w:b/>
                <w:bCs/>
                <w:iCs/>
              </w:rPr>
              <w:t>2015</w:t>
            </w:r>
            <w:r>
              <w:rPr>
                <w:rFonts w:hint="eastAsia" w:ascii="Times New Roman" w:hAnsi="Times New Roman" w:cs="Times New Roman"/>
                <w:b/>
                <w:bCs/>
                <w:iCs/>
              </w:rPr>
              <w:t>年</w:t>
            </w:r>
            <w:r>
              <w:rPr>
                <w:rFonts w:hint="eastAsia" w:ascii="Times New Roman" w:hAnsi="Times New Roman" w:cs="Times New Roman"/>
                <w:b/>
                <w:bCs/>
              </w:rPr>
              <w:t>获批</w:t>
            </w:r>
            <w:r>
              <w:rPr>
                <w:rFonts w:hint="eastAsia" w:ascii="Times New Roman" w:hAnsi="Times New Roman" w:cs="Times New Roman"/>
                <w:b/>
                <w:bCs/>
                <w:iCs/>
                <w:color w:val="0070C0"/>
              </w:rPr>
              <w:t>国家</w:t>
            </w:r>
            <w:r>
              <w:rPr>
                <w:rFonts w:ascii="Times New Roman" w:hAnsi="Times New Roman" w:cs="Times New Roman"/>
                <w:b/>
                <w:bCs/>
                <w:iCs/>
                <w:color w:val="0070C0"/>
              </w:rPr>
              <w:t>1.1</w:t>
            </w:r>
            <w:r>
              <w:rPr>
                <w:rFonts w:hint="eastAsia" w:ascii="Times New Roman" w:hAnsi="Times New Roman" w:cs="Times New Roman"/>
                <w:b/>
                <w:bCs/>
                <w:iCs/>
                <w:color w:val="0070C0"/>
              </w:rPr>
              <w:t>类新药临床研究批文（</w:t>
            </w:r>
            <w:r>
              <w:rPr>
                <w:rFonts w:ascii="Times New Roman" w:hAnsi="Times New Roman" w:cs="Times New Roman"/>
                <w:b/>
                <w:bCs/>
                <w:iCs/>
                <w:color w:val="0070C0"/>
              </w:rPr>
              <w:t>CFDA</w:t>
            </w:r>
            <w:r>
              <w:rPr>
                <w:rFonts w:hint="eastAsia" w:ascii="Times New Roman" w:hAnsi="Times New Roman" w:cs="Times New Roman"/>
                <w:b/>
                <w:bCs/>
                <w:iCs/>
                <w:color w:val="0070C0"/>
              </w:rPr>
              <w:t>药物临床试验批件号：</w:t>
            </w:r>
            <w:r>
              <w:rPr>
                <w:rFonts w:ascii="Times New Roman" w:hAnsi="Times New Roman" w:cs="Times New Roman"/>
                <w:b/>
                <w:bCs/>
                <w:iCs/>
                <w:color w:val="0070C0"/>
              </w:rPr>
              <w:t>2015L00327</w:t>
            </w:r>
            <w:r>
              <w:rPr>
                <w:rFonts w:hint="eastAsia" w:ascii="Times New Roman" w:hAnsi="Times New Roman" w:cs="Times New Roman"/>
                <w:b/>
                <w:bCs/>
                <w:iCs/>
                <w:color w:val="0070C0"/>
              </w:rPr>
              <w:t>）</w:t>
            </w:r>
            <w:r>
              <w:rPr>
                <w:rFonts w:hint="eastAsia" w:ascii="Times New Roman" w:hAnsi="Times New Roman" w:cs="Times New Roman"/>
                <w:b/>
                <w:bCs/>
                <w:iCs/>
              </w:rPr>
              <w:t>，进入临床研究，</w:t>
            </w:r>
            <w:r>
              <w:rPr>
                <w:rFonts w:hint="eastAsia" w:ascii="Times New Roman" w:hAnsi="Times New Roman" w:cs="Times New Roman"/>
              </w:rPr>
              <w:t>用于晚期非小细胞肺癌的治疗。美妥珠是具有我国自主知识产权的新型抗肺癌靶向治疗物，并在安全性和有效性方面更具竞争力，有助于解决肺癌的重大临床问题和重大市场需求，该成果获</w:t>
            </w:r>
            <w:r>
              <w:rPr>
                <w:rFonts w:ascii="Times New Roman" w:hAnsi="Times New Roman" w:cs="Times New Roman"/>
                <w:b/>
                <w:bCs/>
                <w:iCs/>
                <w:color w:val="0070C0"/>
              </w:rPr>
              <w:t>2015</w:t>
            </w:r>
            <w:r>
              <w:rPr>
                <w:rFonts w:hint="eastAsia" w:ascii="Times New Roman" w:hAnsi="Times New Roman" w:cs="Times New Roman"/>
                <w:b/>
                <w:bCs/>
                <w:iCs/>
                <w:color w:val="0070C0"/>
              </w:rPr>
              <w:t>年中国医药生物技术十大进展</w:t>
            </w:r>
            <w:r>
              <w:rPr>
                <w:rFonts w:hint="eastAsia" w:ascii="Times New Roman" w:hAnsi="Times New Roman" w:cs="Times New Roman"/>
                <w:b/>
                <w:bCs/>
              </w:rPr>
              <w:t>。</w:t>
            </w:r>
            <w:r>
              <w:rPr>
                <w:rFonts w:hint="eastAsia" w:ascii="Times New Roman" w:hAnsi="Times New Roman" w:cs="Times New Roman"/>
              </w:rPr>
              <w:t>2）揭示美妥珠单抗通过靶向</w:t>
            </w:r>
            <w:r>
              <w:rPr>
                <w:rFonts w:ascii="Times New Roman" w:hAnsi="Times New Roman" w:cs="Times New Roman"/>
              </w:rPr>
              <w:t>CD147</w:t>
            </w:r>
            <w:r>
              <w:rPr>
                <w:rFonts w:hint="eastAsia" w:ascii="Times New Roman" w:hAnsi="Times New Roman" w:cs="Times New Roman"/>
              </w:rPr>
              <w:t>，调节</w:t>
            </w:r>
            <w:r>
              <w:rPr>
                <w:rFonts w:ascii="Times New Roman" w:hAnsi="Times New Roman" w:cs="Times New Roman"/>
              </w:rPr>
              <w:t>FAK-PI3K-Akt-Girdin</w:t>
            </w:r>
            <w:r>
              <w:rPr>
                <w:rFonts w:hint="eastAsia" w:ascii="Times New Roman" w:hAnsi="Times New Roman" w:cs="Times New Roman"/>
              </w:rPr>
              <w:t>信号通路，影响细胞骨架重排，抑制</w:t>
            </w:r>
            <w:r>
              <w:rPr>
                <w:rFonts w:ascii="Times New Roman" w:hAnsi="Times New Roman" w:cs="Times New Roman"/>
              </w:rPr>
              <w:t>HCC</w:t>
            </w:r>
            <w:r>
              <w:rPr>
                <w:rFonts w:hint="eastAsia" w:ascii="Times New Roman" w:hAnsi="Times New Roman" w:cs="Times New Roman"/>
              </w:rPr>
              <w:t>运动（</w:t>
            </w:r>
            <w:r>
              <w:rPr>
                <w:rFonts w:ascii="Times New Roman" w:hAnsi="Times New Roman" w:cs="Times New Roman"/>
                <w:b/>
              </w:rPr>
              <w:t>Clin Exp Metastasis</w:t>
            </w:r>
            <w:r>
              <w:rPr>
                <w:rFonts w:hint="eastAsia" w:ascii="Times New Roman" w:hAnsi="Times New Roman" w:cs="Times New Roman"/>
                <w:b/>
              </w:rPr>
              <w:t>，</w:t>
            </w:r>
            <w:r>
              <w:rPr>
                <w:rFonts w:ascii="Times New Roman" w:hAnsi="Times New Roman" w:cs="Times New Roman"/>
                <w:b/>
              </w:rPr>
              <w:t>2015</w:t>
            </w:r>
            <w:r>
              <w:rPr>
                <w:rFonts w:hint="eastAsia" w:ascii="Times New Roman" w:hAnsi="Times New Roman" w:cs="Times New Roman"/>
                <w:b/>
              </w:rPr>
              <w:t>，</w:t>
            </w:r>
            <w:r>
              <w:rPr>
                <w:rFonts w:ascii="Times New Roman" w:hAnsi="Times New Roman" w:cs="Times New Roman"/>
                <w:b/>
              </w:rPr>
              <w:t>IF</w:t>
            </w:r>
            <w:r>
              <w:rPr>
                <w:rFonts w:hint="eastAsia" w:ascii="Times New Roman" w:hAnsi="Times New Roman" w:cs="Times New Roman"/>
                <w:b/>
              </w:rPr>
              <w:t>：</w:t>
            </w:r>
            <w:r>
              <w:rPr>
                <w:rFonts w:ascii="Times New Roman" w:hAnsi="Times New Roman" w:cs="Times New Roman"/>
                <w:b/>
              </w:rPr>
              <w:t>3.725</w:t>
            </w:r>
            <w:r>
              <w:rPr>
                <w:rFonts w:hint="eastAsia" w:ascii="Times New Roman" w:hAnsi="Times New Roman" w:cs="Times New Roman"/>
                <w:b/>
              </w:rPr>
              <w:t>，</w:t>
            </w:r>
            <w:r>
              <w:rPr>
                <w:rFonts w:ascii="Times New Roman" w:hAnsi="Times New Roman" w:cs="Times New Roman"/>
                <w:b/>
              </w:rPr>
              <w:t>SCI</w:t>
            </w:r>
            <w:r>
              <w:rPr>
                <w:rFonts w:hint="eastAsia" w:ascii="Times New Roman" w:hAnsi="Times New Roman" w:cs="Times New Roman"/>
                <w:b/>
              </w:rPr>
              <w:t>他引</w:t>
            </w:r>
            <w:r>
              <w:rPr>
                <w:rFonts w:ascii="Times New Roman" w:hAnsi="Times New Roman" w:cs="Times New Roman"/>
                <w:b/>
              </w:rPr>
              <w:t>16</w:t>
            </w:r>
            <w:r>
              <w:rPr>
                <w:rFonts w:hint="eastAsia" w:ascii="Times New Roman" w:hAnsi="Times New Roman" w:cs="Times New Roman"/>
                <w:b/>
              </w:rPr>
              <w:t>次</w:t>
            </w:r>
            <w:r>
              <w:rPr>
                <w:rFonts w:hint="eastAsia" w:ascii="Times New Roman" w:hAnsi="Times New Roman" w:cs="Times New Roman"/>
              </w:rPr>
              <w:t>）。3</w:t>
            </w:r>
            <w:r>
              <w:rPr>
                <w:rFonts w:ascii="Times New Roman" w:hAnsi="Times New Roman" w:cs="Times New Roman"/>
              </w:rPr>
              <w:t>）完成CD147靶点的单抗新药——</w:t>
            </w:r>
            <w:r>
              <w:rPr>
                <w:rFonts w:hint="eastAsia" w:ascii="Times New Roman" w:hAnsi="Times New Roman" w:cs="Times New Roman"/>
              </w:rPr>
              <w:t>碘[</w:t>
            </w:r>
            <w:r>
              <w:rPr>
                <w:rFonts w:hint="eastAsia" w:ascii="Times New Roman" w:hAnsi="Times New Roman" w:cs="Times New Roman"/>
                <w:vertAlign w:val="superscript"/>
              </w:rPr>
              <w:t>131</w:t>
            </w:r>
            <w:r>
              <w:rPr>
                <w:rFonts w:hint="eastAsia" w:ascii="Times New Roman" w:hAnsi="Times New Roman" w:cs="Times New Roman"/>
              </w:rPr>
              <w:t>I]美妥昔单抗注射液</w:t>
            </w:r>
            <w:r>
              <w:rPr>
                <w:rFonts w:ascii="Times New Roman" w:hAnsi="Times New Roman" w:cs="Times New Roman"/>
              </w:rPr>
              <w:t>联合RFA抗肝癌复发的前瞻性随机对照临床研究，发现</w:t>
            </w:r>
            <w:r>
              <w:rPr>
                <w:rFonts w:hint="eastAsia" w:ascii="Times New Roman" w:hAnsi="Times New Roman" w:cs="Times New Roman"/>
              </w:rPr>
              <w:t>显著地</w:t>
            </w:r>
            <w:r>
              <w:rPr>
                <w:rFonts w:ascii="Times New Roman" w:hAnsi="Times New Roman" w:cs="Times New Roman"/>
              </w:rPr>
              <w:t>降低了患者的复发率，延缓了肿瘤复发时间，提高了肝癌患者的生存率（</w:t>
            </w:r>
            <w:r>
              <w:rPr>
                <w:rFonts w:hint="eastAsia" w:ascii="Times New Roman" w:hAnsi="Times New Roman" w:cs="Times New Roman"/>
                <w:b/>
                <w:bCs/>
                <w:iCs/>
                <w:color w:val="0070C0"/>
              </w:rPr>
              <w:t>代表性论文1</w:t>
            </w:r>
            <w:r>
              <w:rPr>
                <w:rFonts w:hint="eastAsia" w:ascii="Times New Roman" w:hAnsi="Times New Roman" w:cs="Times New Roman"/>
                <w:b/>
              </w:rPr>
              <w:t>：</w:t>
            </w:r>
            <w:r>
              <w:rPr>
                <w:rFonts w:ascii="Times New Roman" w:hAnsi="Times New Roman" w:cs="Times New Roman"/>
                <w:b/>
              </w:rPr>
              <w:t>JNCI，2014，IF：12.583，</w:t>
            </w:r>
            <w:r>
              <w:rPr>
                <w:rFonts w:hint="eastAsia" w:ascii="Times New Roman" w:hAnsi="Times New Roman" w:cs="Times New Roman"/>
                <w:b/>
              </w:rPr>
              <w:t>SCI他</w:t>
            </w:r>
            <w:r>
              <w:rPr>
                <w:rFonts w:ascii="Times New Roman" w:hAnsi="Times New Roman" w:cs="Times New Roman"/>
                <w:b/>
              </w:rPr>
              <w:t>引11次</w:t>
            </w:r>
            <w:r>
              <w:rPr>
                <w:rFonts w:ascii="Times New Roman" w:hAnsi="Times New Roman" w:cs="Times New Roman"/>
              </w:rPr>
              <w:t>）。</w:t>
            </w:r>
            <w:r>
              <w:rPr>
                <w:rFonts w:hint="eastAsia" w:ascii="Times New Roman" w:hAnsi="Times New Roman" w:cs="Times New Roman"/>
              </w:rPr>
              <w:t>美妥昔</w:t>
            </w:r>
            <w:r>
              <w:rPr>
                <w:rFonts w:ascii="Times New Roman" w:hAnsi="Times New Roman" w:cs="Times New Roman"/>
              </w:rPr>
              <w:t>抗肝癌治疗被纳入</w:t>
            </w:r>
            <w:r>
              <w:rPr>
                <w:rFonts w:ascii="Times New Roman" w:hAnsi="Times New Roman" w:cs="Times New Roman"/>
                <w:b/>
                <w:bCs/>
                <w:iCs/>
                <w:color w:val="0070C0"/>
              </w:rPr>
              <w:t>《CSCO原发性肝癌诊疗指南》（2018版）</w:t>
            </w:r>
            <w:r>
              <w:rPr>
                <w:rFonts w:ascii="Times New Roman" w:hAnsi="Times New Roman" w:cs="Times New Roman"/>
              </w:rPr>
              <w:t>和</w:t>
            </w:r>
            <w:r>
              <w:rPr>
                <w:rFonts w:ascii="Times New Roman" w:hAnsi="Times New Roman" w:cs="Times New Roman"/>
                <w:b/>
                <w:bCs/>
                <w:iCs/>
                <w:color w:val="0070C0"/>
              </w:rPr>
              <w:t>《原发性肝癌诊疗规范》（卫计委，2017版）</w:t>
            </w:r>
            <w:r>
              <w:rPr>
                <w:rFonts w:ascii="Times New Roman" w:hAnsi="Times New Roman" w:cs="Times New Roman"/>
              </w:rPr>
              <w:t>。</w:t>
            </w:r>
          </w:p>
          <w:p>
            <w:pPr>
              <w:pStyle w:val="22"/>
              <w:spacing w:line="400" w:lineRule="exact"/>
              <w:ind w:firstLine="480" w:firstLineChars="200"/>
              <w:jc w:val="both"/>
              <w:rPr>
                <w:rFonts w:ascii="Times New Roman" w:hAnsi="Times New Roman" w:cs="Times New Roman"/>
                <w:sz w:val="28"/>
              </w:rPr>
            </w:pPr>
            <w:r>
              <w:rPr>
                <w:rFonts w:hint="eastAsia" w:ascii="Times New Roman" w:hAnsi="Times New Roman" w:cs="Times New Roman"/>
              </w:rPr>
              <w:t>白细胞分化抗原</w:t>
            </w:r>
            <w:r>
              <w:rPr>
                <w:rFonts w:ascii="Times New Roman" w:hAnsi="Times New Roman" w:cs="Times New Roman"/>
              </w:rPr>
              <w:t>CD147</w:t>
            </w:r>
            <w:r>
              <w:rPr>
                <w:rFonts w:hint="eastAsia" w:ascii="Times New Roman" w:hAnsi="Times New Roman" w:cs="Times New Roman"/>
              </w:rPr>
              <w:t>分子属于免疫球蛋白超家族成员，是一种</w:t>
            </w:r>
            <w:r>
              <w:rPr>
                <w:rFonts w:ascii="Times New Roman" w:hAnsi="Times New Roman" w:cs="Times New Roman"/>
              </w:rPr>
              <w:t>I</w:t>
            </w:r>
            <w:r>
              <w:rPr>
                <w:rFonts w:hint="eastAsia" w:ascii="Times New Roman" w:hAnsi="Times New Roman" w:cs="Times New Roman"/>
              </w:rPr>
              <w:t>型跨膜蛋白，其编码基因称为</w:t>
            </w:r>
            <w:r>
              <w:rPr>
                <w:rFonts w:ascii="Times New Roman" w:hAnsi="Times New Roman" w:cs="Times New Roman"/>
              </w:rPr>
              <w:t>Basigin</w:t>
            </w:r>
            <w:r>
              <w:rPr>
                <w:rFonts w:hint="eastAsia" w:ascii="Times New Roman" w:hAnsi="Times New Roman" w:cs="Times New Roman"/>
              </w:rPr>
              <w:t>，在肿瘤细胞中高表达。本项目从分子信号转导和表达调控与修饰等多个层面，系统阐述了</w:t>
            </w:r>
            <w:r>
              <w:rPr>
                <w:rFonts w:ascii="Times New Roman" w:hAnsi="Times New Roman" w:cs="Times New Roman"/>
              </w:rPr>
              <w:t>Basigin/CD147</w:t>
            </w:r>
            <w:r>
              <w:rPr>
                <w:rFonts w:hint="eastAsia" w:ascii="Times New Roman" w:hAnsi="Times New Roman" w:cs="Times New Roman"/>
              </w:rPr>
              <w:t>在肝癌、乳腺癌等发生发展中的重要调控机制，确定了该分子是抑制恶性肿瘤进展的重要靶点，实现了抗肝癌、肺癌抗体靶向药物的临床转化应用。</w:t>
            </w:r>
            <w:r>
              <w:rPr>
                <w:rFonts w:hint="eastAsia" w:ascii="Times New Roman" w:hAnsi="黑体" w:eastAsia="黑体" w:cs="Times New Roman"/>
                <w:b/>
              </w:rPr>
              <w:t>研究成果在</w:t>
            </w:r>
            <w:r>
              <w:rPr>
                <w:rFonts w:ascii="Times New Roman" w:hAnsi="Times New Roman" w:eastAsia="黑体" w:cs="Times New Roman"/>
                <w:b/>
              </w:rPr>
              <w:t>JNCI</w:t>
            </w:r>
            <w:r>
              <w:rPr>
                <w:rFonts w:hint="eastAsia" w:ascii="Times New Roman" w:hAnsi="黑体" w:eastAsia="黑体" w:cs="Times New Roman"/>
                <w:b/>
              </w:rPr>
              <w:t>、</w:t>
            </w:r>
            <w:r>
              <w:rPr>
                <w:rFonts w:ascii="Times New Roman" w:hAnsi="Times New Roman" w:eastAsia="黑体" w:cs="Times New Roman"/>
                <w:b/>
              </w:rPr>
              <w:t>J Hepatol</w:t>
            </w:r>
            <w:r>
              <w:rPr>
                <w:rFonts w:hint="eastAsia" w:ascii="Times New Roman" w:hAnsi="黑体" w:eastAsia="黑体" w:cs="Times New Roman"/>
                <w:b/>
              </w:rPr>
              <w:t>、</w:t>
            </w:r>
            <w:r>
              <w:rPr>
                <w:rFonts w:ascii="Times New Roman" w:hAnsi="Times New Roman" w:eastAsia="黑体" w:cs="Times New Roman"/>
                <w:b/>
              </w:rPr>
              <w:t>Cancer Res</w:t>
            </w:r>
            <w:r>
              <w:rPr>
                <w:rFonts w:hint="eastAsia" w:ascii="Times New Roman" w:hAnsi="Times New Roman" w:eastAsia="黑体" w:cs="Times New Roman"/>
                <w:b/>
              </w:rPr>
              <w:t>、Oncogene</w:t>
            </w:r>
            <w:r>
              <w:rPr>
                <w:rFonts w:hint="eastAsia" w:ascii="Times New Roman" w:hAnsi="黑体" w:eastAsia="黑体" w:cs="Times New Roman"/>
                <w:b/>
              </w:rPr>
              <w:t>等国际著名期刊发表</w:t>
            </w:r>
            <w:r>
              <w:rPr>
                <w:rFonts w:ascii="Times New Roman" w:hAnsi="Times New Roman" w:eastAsia="黑体" w:cs="Times New Roman"/>
                <w:b/>
              </w:rPr>
              <w:t>SCI</w:t>
            </w:r>
            <w:r>
              <w:rPr>
                <w:rFonts w:hint="eastAsia" w:ascii="Times New Roman" w:hAnsi="黑体" w:eastAsia="黑体" w:cs="Times New Roman"/>
                <w:b/>
              </w:rPr>
              <w:t>论文</w:t>
            </w:r>
            <w:r>
              <w:rPr>
                <w:rFonts w:ascii="Times New Roman" w:hAnsi="Times New Roman" w:eastAsia="黑体" w:cs="Times New Roman"/>
                <w:b/>
              </w:rPr>
              <w:t>31</w:t>
            </w:r>
            <w:r>
              <w:rPr>
                <w:rFonts w:hint="eastAsia" w:ascii="Times New Roman" w:hAnsi="黑体" w:eastAsia="黑体" w:cs="Times New Roman"/>
                <w:b/>
              </w:rPr>
              <w:t>篇，其中</w:t>
            </w:r>
            <w:r>
              <w:rPr>
                <w:rFonts w:ascii="Times New Roman" w:hAnsi="Times New Roman" w:eastAsia="黑体" w:cs="Times New Roman"/>
                <w:b/>
                <w:color w:val="000000" w:themeColor="text1"/>
              </w:rPr>
              <w:t>IF&gt;10</w:t>
            </w:r>
            <w:r>
              <w:rPr>
                <w:rFonts w:hint="eastAsia" w:ascii="Times New Roman" w:hAnsi="黑体" w:eastAsia="黑体" w:cs="Times New Roman"/>
                <w:b/>
                <w:color w:val="000000" w:themeColor="text1"/>
              </w:rPr>
              <w:t>以上</w:t>
            </w:r>
            <w:r>
              <w:rPr>
                <w:rFonts w:ascii="Times New Roman" w:hAnsi="Times New Roman" w:eastAsia="黑体" w:cs="Times New Roman"/>
                <w:b/>
                <w:color w:val="000000" w:themeColor="text1"/>
              </w:rPr>
              <w:t>3</w:t>
            </w:r>
            <w:r>
              <w:rPr>
                <w:rFonts w:hint="eastAsia" w:ascii="Times New Roman" w:hAnsi="黑体" w:eastAsia="黑体" w:cs="Times New Roman"/>
                <w:b/>
                <w:color w:val="000000" w:themeColor="text1"/>
              </w:rPr>
              <w:t>篇，</w:t>
            </w:r>
            <w:r>
              <w:rPr>
                <w:rFonts w:ascii="Times New Roman" w:hAnsi="Times New Roman" w:eastAsia="黑体" w:cs="Times New Roman"/>
                <w:b/>
                <w:color w:val="000000" w:themeColor="text1"/>
              </w:rPr>
              <w:t>IF&gt;5</w:t>
            </w:r>
            <w:r>
              <w:rPr>
                <w:rFonts w:hint="eastAsia" w:ascii="Times New Roman" w:hAnsi="黑体" w:eastAsia="黑体" w:cs="Times New Roman"/>
                <w:b/>
                <w:color w:val="000000" w:themeColor="text1"/>
              </w:rPr>
              <w:t>以上</w:t>
            </w:r>
            <w:r>
              <w:rPr>
                <w:rFonts w:ascii="Times New Roman" w:hAnsi="Times New Roman" w:eastAsia="黑体" w:cs="Times New Roman"/>
                <w:b/>
                <w:color w:val="000000" w:themeColor="text1"/>
              </w:rPr>
              <w:t>9</w:t>
            </w:r>
            <w:r>
              <w:rPr>
                <w:rFonts w:hint="eastAsia" w:ascii="Times New Roman" w:hAnsi="黑体" w:eastAsia="黑体" w:cs="Times New Roman"/>
                <w:b/>
                <w:color w:val="000000" w:themeColor="text1"/>
              </w:rPr>
              <w:t>篇；代表性</w:t>
            </w:r>
            <w:r>
              <w:rPr>
                <w:rFonts w:ascii="Times New Roman" w:hAnsi="Times New Roman" w:eastAsia="黑体" w:cs="Times New Roman"/>
                <w:b/>
                <w:color w:val="000000" w:themeColor="text1"/>
              </w:rPr>
              <w:t>8</w:t>
            </w:r>
            <w:r>
              <w:rPr>
                <w:rFonts w:hint="eastAsia" w:ascii="Times New Roman" w:hAnsi="黑体" w:eastAsia="黑体" w:cs="Times New Roman"/>
                <w:b/>
                <w:color w:val="000000" w:themeColor="text1"/>
              </w:rPr>
              <w:t>篇论文被国内外他</w:t>
            </w:r>
            <w:r>
              <w:rPr>
                <w:rFonts w:ascii="Times New Roman" w:hAnsi="Times New Roman" w:eastAsia="黑体" w:cs="Times New Roman"/>
                <w:b/>
                <w:color w:val="000000" w:themeColor="text1"/>
              </w:rPr>
              <w:t>290</w:t>
            </w:r>
            <w:r>
              <w:rPr>
                <w:rFonts w:hint="eastAsia" w:ascii="Times New Roman" w:hAnsi="黑体" w:eastAsia="黑体" w:cs="Times New Roman"/>
                <w:b/>
                <w:color w:val="000000" w:themeColor="text1"/>
              </w:rPr>
              <w:t>引次，其中</w:t>
            </w:r>
            <w:r>
              <w:rPr>
                <w:rFonts w:ascii="Times New Roman" w:hAnsi="Times New Roman" w:eastAsia="黑体" w:cs="Times New Roman"/>
                <w:b/>
                <w:color w:val="000000" w:themeColor="text1"/>
              </w:rPr>
              <w:t>SCI</w:t>
            </w:r>
            <w:r>
              <w:rPr>
                <w:rFonts w:hint="eastAsia" w:ascii="Times New Roman" w:hAnsi="黑体" w:eastAsia="黑体" w:cs="Times New Roman"/>
                <w:b/>
                <w:color w:val="000000" w:themeColor="text1"/>
              </w:rPr>
              <w:t>他引</w:t>
            </w:r>
            <w:r>
              <w:rPr>
                <w:rFonts w:ascii="Times New Roman" w:hAnsi="Times New Roman" w:eastAsia="黑体" w:cs="Times New Roman"/>
                <w:b/>
                <w:color w:val="000000" w:themeColor="text1"/>
              </w:rPr>
              <w:t>217</w:t>
            </w:r>
            <w:r>
              <w:rPr>
                <w:rFonts w:hint="eastAsia" w:ascii="Times New Roman" w:hAnsi="黑体" w:eastAsia="黑体" w:cs="Times New Roman"/>
                <w:b/>
                <w:color w:val="000000" w:themeColor="text1"/>
              </w:rPr>
              <w:t>次（</w:t>
            </w:r>
            <w:r>
              <w:rPr>
                <w:rFonts w:ascii="Times New Roman" w:hAnsi="Times New Roman" w:eastAsia="黑体" w:cs="Times New Roman"/>
                <w:b/>
                <w:color w:val="000000" w:themeColor="text1"/>
              </w:rPr>
              <w:t>IF&gt;10</w:t>
            </w:r>
            <w:r>
              <w:rPr>
                <w:rFonts w:hint="eastAsia" w:ascii="Times New Roman" w:hAnsi="黑体" w:eastAsia="黑体" w:cs="Times New Roman"/>
                <w:b/>
                <w:color w:val="000000" w:themeColor="text1"/>
              </w:rPr>
              <w:t>以上</w:t>
            </w:r>
            <w:r>
              <w:rPr>
                <w:rFonts w:ascii="Times New Roman" w:hAnsi="Times New Roman" w:eastAsia="黑体" w:cs="Times New Roman"/>
                <w:b/>
                <w:color w:val="000000" w:themeColor="text1"/>
              </w:rPr>
              <w:t>5</w:t>
            </w:r>
            <w:r>
              <w:rPr>
                <w:rFonts w:hint="eastAsia" w:ascii="Times New Roman" w:hAnsi="黑体" w:eastAsia="黑体" w:cs="Times New Roman"/>
                <w:b/>
                <w:color w:val="000000" w:themeColor="text1"/>
              </w:rPr>
              <w:t>篇，</w:t>
            </w:r>
            <w:r>
              <w:rPr>
                <w:rFonts w:ascii="Times New Roman" w:hAnsi="Times New Roman" w:eastAsia="黑体" w:cs="Times New Roman"/>
                <w:b/>
                <w:color w:val="000000" w:themeColor="text1"/>
              </w:rPr>
              <w:t>IF&gt;5</w:t>
            </w:r>
            <w:r>
              <w:rPr>
                <w:rFonts w:hint="eastAsia" w:ascii="Times New Roman" w:hAnsi="黑体" w:eastAsia="黑体" w:cs="Times New Roman"/>
                <w:b/>
                <w:color w:val="000000" w:themeColor="text1"/>
              </w:rPr>
              <w:t>以上</w:t>
            </w:r>
            <w:r>
              <w:rPr>
                <w:rFonts w:ascii="Times New Roman" w:hAnsi="Times New Roman" w:eastAsia="黑体" w:cs="Times New Roman"/>
                <w:b/>
                <w:color w:val="000000" w:themeColor="text1"/>
              </w:rPr>
              <w:t>44</w:t>
            </w:r>
            <w:r>
              <w:rPr>
                <w:rFonts w:hint="eastAsia" w:ascii="Times New Roman" w:hAnsi="黑体" w:eastAsia="黑体" w:cs="Times New Roman"/>
                <w:b/>
                <w:color w:val="000000" w:themeColor="text1"/>
              </w:rPr>
              <w:t>篇）；</w:t>
            </w:r>
            <w:r>
              <w:rPr>
                <w:rFonts w:hint="eastAsia" w:ascii="Times New Roman" w:hAnsi="黑体" w:eastAsia="黑体" w:cs="Times New Roman"/>
                <w:b/>
              </w:rPr>
              <w:t>获得美国专利授权</w:t>
            </w:r>
            <w:r>
              <w:rPr>
                <w:rFonts w:ascii="Times New Roman" w:hAnsi="Times New Roman" w:eastAsia="黑体" w:cs="Times New Roman"/>
                <w:b/>
              </w:rPr>
              <w:t>1</w:t>
            </w:r>
            <w:r>
              <w:rPr>
                <w:rFonts w:hint="eastAsia" w:ascii="Times New Roman" w:hAnsi="黑体" w:eastAsia="黑体" w:cs="Times New Roman"/>
                <w:b/>
              </w:rPr>
              <w:t>项，国家发明专利授权</w:t>
            </w:r>
            <w:r>
              <w:rPr>
                <w:rFonts w:ascii="Times New Roman" w:hAnsi="Times New Roman" w:eastAsia="黑体" w:cs="Times New Roman"/>
                <w:b/>
              </w:rPr>
              <w:t>1</w:t>
            </w:r>
            <w:r>
              <w:rPr>
                <w:rFonts w:hint="eastAsia" w:ascii="Times New Roman" w:hAnsi="黑体" w:eastAsia="黑体" w:cs="Times New Roman"/>
                <w:b/>
              </w:rPr>
              <w:t>项；获国家</w:t>
            </w:r>
            <w:r>
              <w:rPr>
                <w:rFonts w:ascii="Times New Roman" w:hAnsi="Times New Roman" w:eastAsia="黑体" w:cs="Times New Roman"/>
                <w:b/>
              </w:rPr>
              <w:t>1.1</w:t>
            </w:r>
            <w:r>
              <w:rPr>
                <w:rFonts w:hint="eastAsia" w:ascii="Times New Roman" w:hAnsi="黑体" w:eastAsia="黑体" w:cs="Times New Roman"/>
                <w:b/>
              </w:rPr>
              <w:t>类新药临床试验批文</w:t>
            </w:r>
            <w:r>
              <w:rPr>
                <w:rFonts w:ascii="Times New Roman" w:hAnsi="Times New Roman" w:eastAsia="黑体" w:cs="Times New Roman"/>
                <w:b/>
              </w:rPr>
              <w:t>1</w:t>
            </w:r>
            <w:r>
              <w:rPr>
                <w:rFonts w:hint="eastAsia" w:ascii="Times New Roman" w:hAnsi="黑体" w:eastAsia="黑体" w:cs="Times New Roman"/>
                <w:b/>
              </w:rPr>
              <w:t>项；抗肝癌临床方案被纳入</w:t>
            </w:r>
            <w:r>
              <w:rPr>
                <w:rFonts w:ascii="Times New Roman" w:hAnsi="Times New Roman" w:eastAsia="黑体" w:cs="Times New Roman"/>
                <w:b/>
              </w:rPr>
              <w:t>2</w:t>
            </w:r>
            <w:r>
              <w:rPr>
                <w:rFonts w:hint="eastAsia" w:ascii="Times New Roman" w:hAnsi="黑体" w:eastAsia="黑体" w:cs="Times New Roman"/>
                <w:b/>
              </w:rPr>
              <w:t>项临床诊疗指南；</w:t>
            </w:r>
            <w:r>
              <w:rPr>
                <w:rFonts w:ascii="Times New Roman" w:hAnsi="黑体" w:eastAsia="黑体" w:cs="Times New Roman"/>
                <w:b/>
              </w:rPr>
              <w:t>代表性论文</w:t>
            </w:r>
            <w:r>
              <w:rPr>
                <w:rFonts w:hint="eastAsia" w:ascii="Times New Roman" w:hAnsi="黑体" w:eastAsia="黑体"/>
                <w:b/>
              </w:rPr>
              <w:t>4</w:t>
            </w:r>
            <w:r>
              <w:rPr>
                <w:rFonts w:ascii="Times New Roman" w:hAnsi="黑体" w:eastAsia="黑体"/>
                <w:b/>
              </w:rPr>
              <w:t>获</w:t>
            </w:r>
            <w:r>
              <w:rPr>
                <w:rFonts w:ascii="Times New Roman" w:hAnsi="黑体" w:eastAsia="黑体" w:cs="Times New Roman"/>
                <w:b/>
              </w:rPr>
              <w:t>陕西省第十三届自然科学优秀学术论文二等奖</w:t>
            </w:r>
            <w:r>
              <w:rPr>
                <w:rFonts w:hint="eastAsia" w:ascii="Times New Roman" w:hAnsi="黑体" w:eastAsia="黑体"/>
                <w:b/>
              </w:rPr>
              <w:t>，</w:t>
            </w:r>
            <w:r>
              <w:rPr>
                <w:rFonts w:ascii="Times New Roman" w:hAnsi="黑体" w:eastAsia="黑体" w:cs="Times New Roman"/>
                <w:b/>
              </w:rPr>
              <w:t>代表性论文</w:t>
            </w:r>
            <w:r>
              <w:rPr>
                <w:rFonts w:hint="eastAsia" w:ascii="Times New Roman" w:hAnsi="黑体" w:eastAsia="黑体"/>
                <w:b/>
              </w:rPr>
              <w:t>5获2015年陕西省优秀博士学位论文</w:t>
            </w:r>
            <w:r>
              <w:rPr>
                <w:rFonts w:ascii="Times New Roman" w:hAnsi="黑体" w:eastAsia="黑体" w:cs="Times New Roman"/>
                <w:b/>
              </w:rPr>
              <w:t>。</w:t>
            </w:r>
          </w:p>
        </w:tc>
      </w:tr>
    </w:tbl>
    <w:p>
      <w:pPr>
        <w:pStyle w:val="3"/>
        <w:ind w:firstLine="0" w:firstLineChars="0"/>
        <w:jc w:val="center"/>
        <w:outlineLvl w:val="1"/>
        <w:rPr>
          <w:rFonts w:ascii="Times New Roman"/>
          <w:b/>
          <w:sz w:val="28"/>
        </w:rPr>
      </w:pPr>
      <w:r>
        <w:rPr>
          <w:rFonts w:ascii="Times New Roman"/>
          <w:b/>
          <w:sz w:val="28"/>
        </w:rPr>
        <w:t>五、客观评价（限2页）</w:t>
      </w:r>
    </w:p>
    <w:tbl>
      <w:tblPr>
        <w:tblStyle w:val="11"/>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66" w:hRule="atLeast"/>
        </w:trPr>
        <w:tc>
          <w:tcPr>
            <w:tcW w:w="9039" w:type="dxa"/>
          </w:tcPr>
          <w:p>
            <w:pPr>
              <w:pStyle w:val="22"/>
              <w:spacing w:line="360" w:lineRule="exact"/>
              <w:ind w:firstLine="480" w:firstLineChars="200"/>
              <w:jc w:val="both"/>
              <w:rPr>
                <w:rFonts w:ascii="Times New Roman" w:hAnsi="Times New Roman" w:cs="Times New Roman"/>
                <w:color w:val="auto"/>
                <w:kern w:val="2"/>
              </w:rPr>
            </w:pPr>
            <w:r>
              <w:rPr>
                <w:rFonts w:hint="eastAsia" w:ascii="Times New Roman" w:hAnsi="Times New Roman" w:cs="Times New Roman"/>
                <w:color w:val="auto"/>
              </w:rPr>
              <w:t>本项目从分子信号通路和表达调控与修饰等多个层面，系统阐述了</w:t>
            </w:r>
            <w:r>
              <w:rPr>
                <w:rFonts w:ascii="Times New Roman" w:hAnsi="Times New Roman" w:cs="Times New Roman"/>
                <w:color w:val="auto"/>
              </w:rPr>
              <w:t>CD147</w:t>
            </w:r>
            <w:r>
              <w:rPr>
                <w:rFonts w:hint="eastAsia" w:ascii="Times New Roman" w:hAnsi="Times New Roman" w:cs="Times New Roman"/>
                <w:color w:val="auto"/>
              </w:rPr>
              <w:t>在肝、肺恶性肿瘤发生发展中的重要调控机制，确定了该分子是抑制肝、肺恶性肿瘤进展的重要靶点，实现了抗体靶向药物的临床转化应用。</w:t>
            </w:r>
            <w:r>
              <w:rPr>
                <w:rFonts w:hint="eastAsia" w:ascii="Times New Roman" w:hAnsi="Times New Roman" w:cs="Times New Roman"/>
                <w:color w:val="000000" w:themeColor="text1"/>
              </w:rPr>
              <w:t>研究成果在</w:t>
            </w:r>
            <w:r>
              <w:rPr>
                <w:rFonts w:ascii="Times New Roman" w:hAnsi="Times New Roman" w:cs="Times New Roman"/>
                <w:color w:val="000000" w:themeColor="text1"/>
              </w:rPr>
              <w:t>JNCI</w:t>
            </w:r>
            <w:r>
              <w:rPr>
                <w:rFonts w:hint="eastAsia" w:ascii="Times New Roman" w:hAnsi="Times New Roman" w:cs="Times New Roman"/>
                <w:color w:val="000000" w:themeColor="text1"/>
              </w:rPr>
              <w:t>、</w:t>
            </w:r>
            <w:r>
              <w:rPr>
                <w:rFonts w:ascii="Times New Roman" w:hAnsi="Times New Roman" w:cs="Times New Roman"/>
                <w:color w:val="000000" w:themeColor="text1"/>
              </w:rPr>
              <w:t>J Hepatol</w:t>
            </w:r>
            <w:r>
              <w:rPr>
                <w:rFonts w:hint="eastAsia" w:ascii="Times New Roman" w:hAnsi="Times New Roman" w:cs="Times New Roman"/>
                <w:color w:val="000000" w:themeColor="text1"/>
              </w:rPr>
              <w:t>、</w:t>
            </w:r>
            <w:r>
              <w:rPr>
                <w:rFonts w:ascii="Times New Roman" w:hAnsi="Times New Roman" w:cs="Times New Roman"/>
                <w:color w:val="000000" w:themeColor="text1"/>
              </w:rPr>
              <w:t>Cancer Res</w:t>
            </w:r>
            <w:r>
              <w:rPr>
                <w:rFonts w:hint="eastAsia" w:ascii="Times New Roman" w:hAnsi="Times New Roman" w:cs="Times New Roman"/>
                <w:color w:val="000000" w:themeColor="text1"/>
              </w:rPr>
              <w:t>等重要期刊发表</w:t>
            </w:r>
            <w:r>
              <w:rPr>
                <w:rFonts w:ascii="Times New Roman" w:hAnsi="Times New Roman" w:cs="Times New Roman"/>
                <w:color w:val="000000" w:themeColor="text1"/>
              </w:rPr>
              <w:t>SCI</w:t>
            </w:r>
            <w:r>
              <w:rPr>
                <w:rFonts w:hint="eastAsia" w:ascii="Times New Roman" w:hAnsi="Times New Roman" w:cs="Times New Roman"/>
                <w:color w:val="000000" w:themeColor="text1"/>
              </w:rPr>
              <w:t>论文</w:t>
            </w:r>
            <w:r>
              <w:rPr>
                <w:rFonts w:ascii="Times New Roman" w:hAnsi="Times New Roman" w:cs="Times New Roman"/>
                <w:color w:val="000000" w:themeColor="text1"/>
              </w:rPr>
              <w:t>31</w:t>
            </w:r>
            <w:r>
              <w:rPr>
                <w:rFonts w:hint="eastAsia" w:ascii="Times New Roman" w:hAnsi="Times New Roman" w:cs="Times New Roman"/>
                <w:color w:val="000000" w:themeColor="text1"/>
              </w:rPr>
              <w:t>篇（</w:t>
            </w:r>
            <w:r>
              <w:rPr>
                <w:rFonts w:ascii="Times New Roman" w:hAnsi="Times New Roman" w:cs="Times New Roman"/>
                <w:color w:val="000000" w:themeColor="text1"/>
              </w:rPr>
              <w:t>IF&gt;10</w:t>
            </w:r>
            <w:r>
              <w:rPr>
                <w:rFonts w:hint="eastAsia" w:ascii="Times New Roman" w:hAnsi="Times New Roman" w:cs="Times New Roman"/>
                <w:color w:val="000000" w:themeColor="text1"/>
              </w:rPr>
              <w:t>的</w:t>
            </w:r>
            <w:r>
              <w:rPr>
                <w:rFonts w:ascii="Times New Roman" w:hAnsi="Times New Roman" w:cs="Times New Roman"/>
                <w:color w:val="000000" w:themeColor="text1"/>
              </w:rPr>
              <w:t>3</w:t>
            </w:r>
            <w:r>
              <w:rPr>
                <w:rFonts w:hint="eastAsia" w:ascii="Times New Roman" w:hAnsi="Times New Roman" w:cs="Times New Roman"/>
                <w:color w:val="000000" w:themeColor="text1"/>
              </w:rPr>
              <w:t>篇，</w:t>
            </w:r>
            <w:r>
              <w:rPr>
                <w:rFonts w:ascii="Times New Roman" w:hAnsi="Times New Roman" w:cs="Times New Roman"/>
                <w:color w:val="000000" w:themeColor="text1"/>
              </w:rPr>
              <w:t>IF&gt;5</w:t>
            </w:r>
            <w:r>
              <w:rPr>
                <w:rFonts w:hint="eastAsia" w:ascii="Times New Roman" w:hAnsi="Times New Roman" w:cs="Times New Roman"/>
                <w:color w:val="000000" w:themeColor="text1"/>
              </w:rPr>
              <w:t>的</w:t>
            </w:r>
            <w:r>
              <w:rPr>
                <w:rFonts w:ascii="Times New Roman" w:hAnsi="Times New Roman" w:cs="Times New Roman"/>
                <w:color w:val="000000" w:themeColor="text1"/>
              </w:rPr>
              <w:t>9</w:t>
            </w:r>
            <w:r>
              <w:rPr>
                <w:rFonts w:hint="eastAsia" w:ascii="Times New Roman" w:hAnsi="Times New Roman" w:cs="Times New Roman"/>
                <w:color w:val="000000" w:themeColor="text1"/>
              </w:rPr>
              <w:t>篇），被国际同行广泛关注，其中</w:t>
            </w:r>
            <w:r>
              <w:rPr>
                <w:rFonts w:hint="eastAsia" w:ascii="Times New Roman" w:hAnsi="Times New Roman" w:cs="Times New Roman"/>
                <w:color w:val="auto"/>
              </w:rPr>
              <w:t>代表性</w:t>
            </w:r>
            <w:r>
              <w:rPr>
                <w:rFonts w:ascii="Times New Roman" w:hAnsi="Times New Roman" w:cs="Times New Roman"/>
                <w:color w:val="auto"/>
              </w:rPr>
              <w:t>8</w:t>
            </w:r>
            <w:r>
              <w:rPr>
                <w:rFonts w:hint="eastAsia" w:ascii="Times New Roman" w:hAnsi="Times New Roman" w:cs="Times New Roman"/>
                <w:color w:val="auto"/>
              </w:rPr>
              <w:t>篇论文被国内外他</w:t>
            </w:r>
            <w:r>
              <w:rPr>
                <w:rFonts w:ascii="Times New Roman" w:hAnsi="Times New Roman" w:cs="Times New Roman"/>
                <w:color w:val="auto"/>
              </w:rPr>
              <w:t>290</w:t>
            </w:r>
            <w:r>
              <w:rPr>
                <w:rFonts w:hint="eastAsia" w:ascii="Times New Roman" w:hAnsi="Times New Roman" w:cs="Times New Roman"/>
                <w:color w:val="auto"/>
              </w:rPr>
              <w:t>引次，其中</w:t>
            </w:r>
            <w:r>
              <w:rPr>
                <w:rFonts w:ascii="Times New Roman" w:hAnsi="Times New Roman" w:cs="Times New Roman"/>
                <w:color w:val="auto"/>
              </w:rPr>
              <w:t>SCI</w:t>
            </w:r>
            <w:r>
              <w:rPr>
                <w:rFonts w:hint="eastAsia" w:ascii="Times New Roman" w:hAnsi="Times New Roman" w:cs="Times New Roman"/>
                <w:color w:val="auto"/>
              </w:rPr>
              <w:t>他引</w:t>
            </w:r>
            <w:r>
              <w:rPr>
                <w:rFonts w:ascii="Times New Roman" w:hAnsi="Times New Roman" w:cs="Times New Roman"/>
                <w:color w:val="auto"/>
              </w:rPr>
              <w:t>217</w:t>
            </w:r>
            <w:r>
              <w:rPr>
                <w:rFonts w:hint="eastAsia" w:ascii="Times New Roman" w:hAnsi="Times New Roman" w:cs="Times New Roman"/>
                <w:color w:val="auto"/>
              </w:rPr>
              <w:t>次。</w:t>
            </w:r>
          </w:p>
          <w:p>
            <w:pPr>
              <w:tabs>
                <w:tab w:val="left" w:pos="426"/>
              </w:tabs>
              <w:autoSpaceDE w:val="0"/>
              <w:autoSpaceDN w:val="0"/>
              <w:adjustRightInd w:val="0"/>
              <w:spacing w:before="40" w:after="40" w:line="360" w:lineRule="exact"/>
              <w:rPr>
                <w:rFonts w:eastAsia="黑体"/>
                <w:b/>
                <w:kern w:val="0"/>
                <w:sz w:val="24"/>
                <w:szCs w:val="24"/>
              </w:rPr>
            </w:pPr>
            <w:r>
              <w:rPr>
                <w:rFonts w:hint="eastAsia" w:eastAsia="黑体"/>
                <w:b/>
                <w:kern w:val="0"/>
                <w:sz w:val="24"/>
                <w:szCs w:val="24"/>
              </w:rPr>
              <w:t>一、针对科学发现</w:t>
            </w:r>
            <w:r>
              <w:rPr>
                <w:rFonts w:eastAsia="黑体"/>
                <w:b/>
                <w:kern w:val="0"/>
                <w:sz w:val="24"/>
                <w:szCs w:val="24"/>
              </w:rPr>
              <w:t>-1</w:t>
            </w:r>
            <w:r>
              <w:rPr>
                <w:rFonts w:hint="eastAsia" w:eastAsia="黑体"/>
                <w:b/>
                <w:kern w:val="0"/>
                <w:sz w:val="24"/>
                <w:szCs w:val="24"/>
              </w:rPr>
              <w:t>、-2的评述</w:t>
            </w:r>
          </w:p>
          <w:p>
            <w:pPr>
              <w:autoSpaceDE w:val="0"/>
              <w:autoSpaceDN w:val="0"/>
              <w:adjustRightInd w:val="0"/>
              <w:spacing w:line="360" w:lineRule="exact"/>
              <w:rPr>
                <w:kern w:val="0"/>
                <w:sz w:val="24"/>
                <w:szCs w:val="24"/>
              </w:rPr>
            </w:pPr>
            <w:r>
              <w:rPr>
                <w:kern w:val="0"/>
                <w:sz w:val="24"/>
                <w:szCs w:val="24"/>
              </w:rPr>
              <w:t>（</w:t>
            </w:r>
            <w:r>
              <w:rPr>
                <w:rFonts w:hint="eastAsia"/>
                <w:kern w:val="0"/>
                <w:sz w:val="24"/>
                <w:szCs w:val="24"/>
              </w:rPr>
              <w:t>1</w:t>
            </w:r>
            <w:r>
              <w:rPr>
                <w:kern w:val="0"/>
                <w:sz w:val="24"/>
                <w:szCs w:val="24"/>
              </w:rPr>
              <w:t>）台湾长庚大学Kwang-Huei Lin发表在Hepatology（2018;67(1):188-203，IF=14.079）的论著引用了我们</w:t>
            </w:r>
            <w:r>
              <w:rPr>
                <w:rFonts w:hint="eastAsia"/>
                <w:kern w:val="0"/>
                <w:sz w:val="24"/>
                <w:szCs w:val="24"/>
              </w:rPr>
              <w:t>的工作（</w:t>
            </w:r>
            <w:r>
              <w:rPr>
                <w:kern w:val="0"/>
                <w:sz w:val="24"/>
                <w:szCs w:val="24"/>
              </w:rPr>
              <w:t>J Hepatol</w:t>
            </w:r>
            <w:r>
              <w:rPr>
                <w:rFonts w:hint="eastAsia"/>
                <w:kern w:val="0"/>
                <w:sz w:val="24"/>
                <w:szCs w:val="24"/>
              </w:rPr>
              <w:t xml:space="preserve"> 2014）</w:t>
            </w:r>
            <w:r>
              <w:rPr>
                <w:kern w:val="0"/>
                <w:sz w:val="24"/>
                <w:szCs w:val="24"/>
              </w:rPr>
              <w:t>，肯定了肿瘤细胞代谢受编码或非编码基因的异常调控的作用。</w:t>
            </w:r>
          </w:p>
          <w:p>
            <w:pPr>
              <w:autoSpaceDE w:val="0"/>
              <w:autoSpaceDN w:val="0"/>
              <w:adjustRightInd w:val="0"/>
              <w:spacing w:line="360" w:lineRule="exact"/>
              <w:rPr>
                <w:rFonts w:eastAsiaTheme="minorEastAsia"/>
                <w:kern w:val="0"/>
                <w:sz w:val="24"/>
                <w:szCs w:val="24"/>
              </w:rPr>
            </w:pPr>
            <w:r>
              <w:rPr>
                <w:rFonts w:hint="eastAsia" w:eastAsiaTheme="minorEastAsia"/>
                <w:kern w:val="0"/>
                <w:sz w:val="24"/>
                <w:szCs w:val="24"/>
              </w:rPr>
              <w:t>（2）中山大学</w:t>
            </w:r>
            <w:r>
              <w:rPr>
                <w:sz w:val="24"/>
                <w:szCs w:val="24"/>
              </w:rPr>
              <w:t>Jing-Ping Yun</w:t>
            </w:r>
            <w:r>
              <w:rPr>
                <w:rFonts w:hint="eastAsia"/>
                <w:sz w:val="24"/>
                <w:szCs w:val="24"/>
              </w:rPr>
              <w:t>教授发表在</w:t>
            </w:r>
            <w:r>
              <w:rPr>
                <w:rFonts w:eastAsiaTheme="minorEastAsia"/>
                <w:kern w:val="0"/>
                <w:sz w:val="24"/>
                <w:szCs w:val="24"/>
              </w:rPr>
              <w:t>Cancer Res</w:t>
            </w:r>
            <w:r>
              <w:rPr>
                <w:rFonts w:hint="eastAsia" w:eastAsiaTheme="minorEastAsia"/>
                <w:kern w:val="0"/>
                <w:sz w:val="24"/>
                <w:szCs w:val="24"/>
              </w:rPr>
              <w:t>（</w:t>
            </w:r>
            <w:r>
              <w:rPr>
                <w:rFonts w:eastAsiaTheme="minorEastAsia"/>
                <w:kern w:val="0"/>
                <w:sz w:val="24"/>
                <w:szCs w:val="24"/>
              </w:rPr>
              <w:t>2019;79(3):534-545</w:t>
            </w:r>
            <w:r>
              <w:rPr>
                <w:rFonts w:hint="eastAsia" w:eastAsiaTheme="minorEastAsia"/>
                <w:kern w:val="0"/>
                <w:sz w:val="24"/>
                <w:szCs w:val="24"/>
              </w:rPr>
              <w:t>，</w:t>
            </w:r>
            <w:r>
              <w:rPr>
                <w:rFonts w:eastAsiaTheme="minorEastAsia"/>
                <w:kern w:val="0"/>
                <w:sz w:val="24"/>
                <w:szCs w:val="24"/>
              </w:rPr>
              <w:t>IF=9.13</w:t>
            </w:r>
            <w:r>
              <w:rPr>
                <w:rFonts w:hint="eastAsia" w:eastAsiaTheme="minorEastAsia"/>
                <w:kern w:val="0"/>
                <w:sz w:val="24"/>
                <w:szCs w:val="24"/>
              </w:rPr>
              <w:t>）文章引用了我们的工作（</w:t>
            </w:r>
            <w:r>
              <w:rPr>
                <w:rFonts w:eastAsiaTheme="minorEastAsia"/>
                <w:kern w:val="0"/>
                <w:sz w:val="24"/>
                <w:szCs w:val="24"/>
              </w:rPr>
              <w:t>J Hepatol</w:t>
            </w:r>
            <w:r>
              <w:rPr>
                <w:rFonts w:hint="eastAsia" w:eastAsiaTheme="minorEastAsia"/>
                <w:kern w:val="0"/>
                <w:sz w:val="24"/>
                <w:szCs w:val="24"/>
              </w:rPr>
              <w:t xml:space="preserve"> </w:t>
            </w:r>
            <w:r>
              <w:rPr>
                <w:rFonts w:eastAsiaTheme="minorEastAsia"/>
                <w:kern w:val="0"/>
                <w:sz w:val="24"/>
                <w:szCs w:val="24"/>
              </w:rPr>
              <w:t>2014</w:t>
            </w:r>
            <w:r>
              <w:rPr>
                <w:rFonts w:hint="eastAsia" w:eastAsiaTheme="minorEastAsia"/>
                <w:kern w:val="0"/>
                <w:sz w:val="24"/>
                <w:szCs w:val="24"/>
              </w:rPr>
              <w:t>），认为</w:t>
            </w:r>
            <w:r>
              <w:rPr>
                <w:rFonts w:eastAsiaTheme="minorEastAsia"/>
                <w:kern w:val="0"/>
                <w:sz w:val="24"/>
                <w:szCs w:val="24"/>
              </w:rPr>
              <w:t>CD147</w:t>
            </w:r>
            <w:r>
              <w:rPr>
                <w:rFonts w:hint="eastAsia" w:eastAsiaTheme="minorEastAsia"/>
                <w:kern w:val="0"/>
                <w:sz w:val="24"/>
                <w:szCs w:val="24"/>
              </w:rPr>
              <w:t>通过乳酸盐介导的</w:t>
            </w:r>
            <w:r>
              <w:rPr>
                <w:rFonts w:eastAsiaTheme="minorEastAsia"/>
                <w:kern w:val="0"/>
                <w:sz w:val="24"/>
                <w:szCs w:val="24"/>
              </w:rPr>
              <w:t>PI3K/Akt/MDM2</w:t>
            </w:r>
            <w:r>
              <w:rPr>
                <w:rFonts w:hint="eastAsia" w:eastAsiaTheme="minorEastAsia"/>
                <w:kern w:val="0"/>
                <w:sz w:val="24"/>
                <w:szCs w:val="24"/>
              </w:rPr>
              <w:t>途径在转录后水平抑制</w:t>
            </w:r>
            <w:r>
              <w:rPr>
                <w:rFonts w:eastAsiaTheme="minorEastAsia"/>
                <w:kern w:val="0"/>
                <w:sz w:val="24"/>
                <w:szCs w:val="24"/>
              </w:rPr>
              <w:t>p53</w:t>
            </w:r>
            <w:r>
              <w:rPr>
                <w:rFonts w:hint="eastAsia" w:eastAsiaTheme="minorEastAsia"/>
                <w:kern w:val="0"/>
                <w:sz w:val="24"/>
                <w:szCs w:val="24"/>
              </w:rPr>
              <w:t>表达。</w:t>
            </w:r>
          </w:p>
          <w:p>
            <w:pPr>
              <w:autoSpaceDE w:val="0"/>
              <w:autoSpaceDN w:val="0"/>
              <w:adjustRightInd w:val="0"/>
              <w:spacing w:line="360" w:lineRule="exact"/>
              <w:rPr>
                <w:rFonts w:eastAsiaTheme="minorEastAsia"/>
                <w:kern w:val="0"/>
                <w:sz w:val="24"/>
                <w:szCs w:val="24"/>
              </w:rPr>
            </w:pPr>
            <w:r>
              <w:rPr>
                <w:rFonts w:eastAsiaTheme="minorEastAsia"/>
                <w:kern w:val="0"/>
                <w:sz w:val="24"/>
                <w:szCs w:val="24"/>
              </w:rPr>
              <w:t>（</w:t>
            </w:r>
            <w:r>
              <w:rPr>
                <w:rFonts w:hint="eastAsia" w:eastAsiaTheme="minorEastAsia"/>
                <w:kern w:val="0"/>
                <w:sz w:val="24"/>
                <w:szCs w:val="24"/>
              </w:rPr>
              <w:t>3</w:t>
            </w:r>
            <w:r>
              <w:rPr>
                <w:rFonts w:eastAsiaTheme="minorEastAsia"/>
                <w:kern w:val="0"/>
                <w:sz w:val="24"/>
                <w:szCs w:val="24"/>
              </w:rPr>
              <w:t>）中南大学Shi Chang教授发表在Thyroid（2018;28(5):613-623，IF=</w:t>
            </w:r>
            <w:r>
              <w:rPr>
                <w:sz w:val="24"/>
                <w:szCs w:val="24"/>
              </w:rPr>
              <w:t>7.557</w:t>
            </w:r>
            <w:r>
              <w:rPr>
                <w:rFonts w:eastAsiaTheme="minorEastAsia"/>
                <w:kern w:val="0"/>
                <w:sz w:val="24"/>
                <w:szCs w:val="24"/>
              </w:rPr>
              <w:t>）的文章引用了我们</w:t>
            </w:r>
            <w:r>
              <w:rPr>
                <w:rFonts w:hint="eastAsia" w:eastAsiaTheme="minorEastAsia"/>
                <w:kern w:val="0"/>
                <w:sz w:val="24"/>
                <w:szCs w:val="24"/>
              </w:rPr>
              <w:t>的</w:t>
            </w:r>
            <w:r>
              <w:rPr>
                <w:rFonts w:eastAsiaTheme="minorEastAsia"/>
                <w:kern w:val="0"/>
                <w:sz w:val="24"/>
                <w:szCs w:val="24"/>
              </w:rPr>
              <w:t>工作（J Hepatol</w:t>
            </w:r>
            <w:r>
              <w:rPr>
                <w:rFonts w:hint="eastAsia" w:eastAsiaTheme="minorEastAsia"/>
                <w:kern w:val="0"/>
                <w:sz w:val="24"/>
                <w:szCs w:val="24"/>
              </w:rPr>
              <w:t xml:space="preserve"> </w:t>
            </w:r>
            <w:r>
              <w:rPr>
                <w:rFonts w:eastAsiaTheme="minorEastAsia"/>
                <w:kern w:val="0"/>
                <w:sz w:val="24"/>
                <w:szCs w:val="24"/>
              </w:rPr>
              <w:t>2014），认为CD147在调控细胞代谢具有重要作用，CD147参与肿瘤的糖酵解途径。</w:t>
            </w:r>
          </w:p>
          <w:p>
            <w:pPr>
              <w:autoSpaceDE w:val="0"/>
              <w:autoSpaceDN w:val="0"/>
              <w:adjustRightInd w:val="0"/>
              <w:spacing w:line="360" w:lineRule="exact"/>
              <w:rPr>
                <w:rFonts w:eastAsiaTheme="minorEastAsia"/>
                <w:kern w:val="0"/>
                <w:sz w:val="24"/>
                <w:szCs w:val="24"/>
              </w:rPr>
            </w:pPr>
            <w:r>
              <w:rPr>
                <w:rFonts w:hint="eastAsia" w:eastAsiaTheme="minorEastAsia"/>
                <w:kern w:val="0"/>
                <w:sz w:val="24"/>
                <w:szCs w:val="24"/>
              </w:rPr>
              <w:t>（4）我们</w:t>
            </w:r>
            <w:r>
              <w:rPr>
                <w:rFonts w:eastAsiaTheme="minorEastAsia"/>
                <w:kern w:val="0"/>
                <w:sz w:val="24"/>
                <w:szCs w:val="24"/>
              </w:rPr>
              <w:t>的工作</w:t>
            </w:r>
            <w:r>
              <w:rPr>
                <w:rFonts w:hint="eastAsia" w:eastAsiaTheme="minorEastAsia"/>
                <w:kern w:val="0"/>
                <w:sz w:val="24"/>
                <w:szCs w:val="24"/>
              </w:rPr>
              <w:t>（</w:t>
            </w:r>
            <w:r>
              <w:rPr>
                <w:rFonts w:eastAsiaTheme="minorEastAsia"/>
                <w:kern w:val="0"/>
                <w:sz w:val="24"/>
                <w:szCs w:val="24"/>
              </w:rPr>
              <w:t>J Hepatoly</w:t>
            </w:r>
            <w:r>
              <w:rPr>
                <w:rFonts w:hint="eastAsia" w:eastAsiaTheme="minorEastAsia"/>
                <w:kern w:val="0"/>
                <w:sz w:val="24"/>
                <w:szCs w:val="24"/>
              </w:rPr>
              <w:t xml:space="preserve"> </w:t>
            </w:r>
            <w:r>
              <w:rPr>
                <w:rFonts w:eastAsiaTheme="minorEastAsia"/>
                <w:kern w:val="0"/>
                <w:sz w:val="24"/>
                <w:szCs w:val="24"/>
              </w:rPr>
              <w:t>2014</w:t>
            </w:r>
            <w:r>
              <w:rPr>
                <w:rFonts w:hint="eastAsia" w:eastAsiaTheme="minorEastAsia"/>
                <w:kern w:val="0"/>
                <w:sz w:val="24"/>
                <w:szCs w:val="24"/>
              </w:rPr>
              <w:t>）被</w:t>
            </w:r>
            <w:r>
              <w:rPr>
                <w:rFonts w:eastAsiaTheme="minorEastAsia"/>
                <w:kern w:val="0"/>
                <w:sz w:val="24"/>
                <w:szCs w:val="24"/>
              </w:rPr>
              <w:t>Cell Death Dis</w:t>
            </w:r>
            <w:r>
              <w:rPr>
                <w:rFonts w:hint="eastAsia" w:eastAsiaTheme="minorEastAsia"/>
                <w:kern w:val="0"/>
                <w:sz w:val="24"/>
                <w:szCs w:val="24"/>
              </w:rPr>
              <w:t>（</w:t>
            </w:r>
            <w:r>
              <w:rPr>
                <w:rFonts w:eastAsiaTheme="minorEastAsia"/>
                <w:kern w:val="0"/>
                <w:sz w:val="24"/>
                <w:szCs w:val="24"/>
              </w:rPr>
              <w:t>2018;9(11):1050</w:t>
            </w:r>
            <w:r>
              <w:rPr>
                <w:rFonts w:hint="eastAsia" w:eastAsiaTheme="minorEastAsia"/>
                <w:kern w:val="0"/>
                <w:sz w:val="24"/>
                <w:szCs w:val="24"/>
              </w:rPr>
              <w:t>，</w:t>
            </w:r>
            <w:r>
              <w:rPr>
                <w:rFonts w:eastAsiaTheme="minorEastAsia"/>
                <w:kern w:val="0"/>
                <w:sz w:val="24"/>
                <w:szCs w:val="24"/>
              </w:rPr>
              <w:t>IF=5.638</w:t>
            </w:r>
            <w:r>
              <w:rPr>
                <w:rFonts w:hint="eastAsia" w:eastAsiaTheme="minorEastAsia"/>
                <w:kern w:val="0"/>
                <w:sz w:val="24"/>
                <w:szCs w:val="24"/>
              </w:rPr>
              <w:t>）引用，介绍常规透射电镜分析用于线粒体成像。</w:t>
            </w:r>
          </w:p>
          <w:p>
            <w:pPr>
              <w:autoSpaceDE w:val="0"/>
              <w:autoSpaceDN w:val="0"/>
              <w:adjustRightInd w:val="0"/>
              <w:spacing w:line="360" w:lineRule="exact"/>
              <w:rPr>
                <w:rFonts w:eastAsiaTheme="minorEastAsia"/>
                <w:kern w:val="0"/>
                <w:sz w:val="24"/>
                <w:szCs w:val="24"/>
              </w:rPr>
            </w:pPr>
            <w:r>
              <w:rPr>
                <w:rFonts w:hint="eastAsia" w:eastAsiaTheme="minorEastAsia"/>
                <w:kern w:val="0"/>
                <w:sz w:val="24"/>
                <w:szCs w:val="24"/>
              </w:rPr>
              <w:t>（5）我们的工作（</w:t>
            </w:r>
            <w:r>
              <w:rPr>
                <w:rFonts w:eastAsiaTheme="minorEastAsia"/>
                <w:kern w:val="0"/>
                <w:sz w:val="24"/>
                <w:szCs w:val="24"/>
              </w:rPr>
              <w:t>J Hepatol</w:t>
            </w:r>
            <w:r>
              <w:rPr>
                <w:rFonts w:hint="eastAsia" w:eastAsiaTheme="minorEastAsia"/>
                <w:kern w:val="0"/>
                <w:sz w:val="24"/>
                <w:szCs w:val="24"/>
              </w:rPr>
              <w:t xml:space="preserve"> </w:t>
            </w:r>
            <w:r>
              <w:rPr>
                <w:rFonts w:eastAsiaTheme="minorEastAsia"/>
                <w:kern w:val="0"/>
                <w:sz w:val="24"/>
                <w:szCs w:val="24"/>
              </w:rPr>
              <w:t>2014</w:t>
            </w:r>
            <w:r>
              <w:rPr>
                <w:rFonts w:hint="eastAsia" w:eastAsiaTheme="minorEastAsia"/>
                <w:kern w:val="0"/>
                <w:sz w:val="24"/>
                <w:szCs w:val="24"/>
              </w:rPr>
              <w:t>）被</w:t>
            </w:r>
            <w:r>
              <w:rPr>
                <w:rFonts w:eastAsiaTheme="minorEastAsia"/>
                <w:kern w:val="0"/>
                <w:sz w:val="24"/>
                <w:szCs w:val="24"/>
              </w:rPr>
              <w:t>Cancers</w:t>
            </w:r>
            <w:r>
              <w:rPr>
                <w:rFonts w:hint="eastAsia" w:eastAsiaTheme="minorEastAsia"/>
                <w:kern w:val="0"/>
                <w:sz w:val="24"/>
                <w:szCs w:val="24"/>
              </w:rPr>
              <w:t>（</w:t>
            </w:r>
            <w:r>
              <w:rPr>
                <w:rFonts w:eastAsiaTheme="minorEastAsia"/>
                <w:kern w:val="0"/>
                <w:sz w:val="24"/>
                <w:szCs w:val="24"/>
              </w:rPr>
              <w:t>2018;10(10)</w:t>
            </w:r>
            <w:r>
              <w:rPr>
                <w:rFonts w:hint="eastAsia" w:eastAsiaTheme="minorEastAsia"/>
                <w:kern w:val="0"/>
                <w:sz w:val="24"/>
                <w:szCs w:val="24"/>
              </w:rPr>
              <w:t>，</w:t>
            </w:r>
            <w:r>
              <w:rPr>
                <w:rFonts w:eastAsiaTheme="minorEastAsia"/>
                <w:kern w:val="0"/>
                <w:sz w:val="24"/>
                <w:szCs w:val="24"/>
              </w:rPr>
              <w:t>IF=</w:t>
            </w:r>
            <w:r>
              <w:rPr>
                <w:sz w:val="24"/>
                <w:szCs w:val="24"/>
              </w:rPr>
              <w:t>5.326</w:t>
            </w:r>
            <w:r>
              <w:rPr>
                <w:rFonts w:hint="eastAsia" w:eastAsiaTheme="minorEastAsia"/>
                <w:kern w:val="0"/>
                <w:sz w:val="24"/>
                <w:szCs w:val="24"/>
              </w:rPr>
              <w:t>）综述引用，认为</w:t>
            </w:r>
            <w:r>
              <w:rPr>
                <w:rFonts w:eastAsiaTheme="minorEastAsia"/>
                <w:kern w:val="0"/>
                <w:sz w:val="24"/>
                <w:szCs w:val="24"/>
              </w:rPr>
              <w:t>CD147</w:t>
            </w:r>
            <w:r>
              <w:rPr>
                <w:rFonts w:hint="eastAsia" w:eastAsiaTheme="minorEastAsia"/>
                <w:kern w:val="0"/>
                <w:sz w:val="24"/>
                <w:szCs w:val="24"/>
              </w:rPr>
              <w:t>通过作用于葡萄糖代谢和抑制</w:t>
            </w:r>
            <w:r>
              <w:rPr>
                <w:rFonts w:eastAsiaTheme="minorEastAsia"/>
                <w:kern w:val="0"/>
                <w:sz w:val="24"/>
                <w:szCs w:val="24"/>
              </w:rPr>
              <w:t>p53</w:t>
            </w:r>
            <w:r>
              <w:rPr>
                <w:rFonts w:hint="eastAsia" w:eastAsiaTheme="minorEastAsia"/>
                <w:kern w:val="0"/>
                <w:sz w:val="24"/>
                <w:szCs w:val="24"/>
              </w:rPr>
              <w:t>途径在肿瘤细胞代谢和增殖中发挥重要作用。</w:t>
            </w:r>
          </w:p>
          <w:p>
            <w:pPr>
              <w:autoSpaceDE w:val="0"/>
              <w:autoSpaceDN w:val="0"/>
              <w:adjustRightInd w:val="0"/>
              <w:spacing w:line="360" w:lineRule="exact"/>
              <w:rPr>
                <w:rFonts w:eastAsiaTheme="minorEastAsia"/>
                <w:kern w:val="0"/>
                <w:sz w:val="24"/>
                <w:szCs w:val="24"/>
              </w:rPr>
            </w:pPr>
            <w:r>
              <w:rPr>
                <w:rFonts w:hint="eastAsia" w:eastAsiaTheme="minorEastAsia"/>
                <w:kern w:val="0"/>
                <w:sz w:val="24"/>
                <w:szCs w:val="24"/>
              </w:rPr>
              <w:t>（6）加拿大</w:t>
            </w:r>
            <w:r>
              <w:rPr>
                <w:rFonts w:eastAsiaTheme="minorEastAsia"/>
                <w:kern w:val="0"/>
                <w:sz w:val="24"/>
                <w:szCs w:val="24"/>
              </w:rPr>
              <w:t>Chelsea K. Martin</w:t>
            </w:r>
            <w:r>
              <w:rPr>
                <w:rFonts w:hint="eastAsia" w:eastAsiaTheme="minorEastAsia"/>
                <w:kern w:val="0"/>
                <w:sz w:val="24"/>
                <w:szCs w:val="24"/>
              </w:rPr>
              <w:t>教授发表在</w:t>
            </w:r>
            <w:r>
              <w:rPr>
                <w:rFonts w:eastAsiaTheme="minorEastAsia"/>
                <w:kern w:val="0"/>
                <w:sz w:val="24"/>
                <w:szCs w:val="24"/>
              </w:rPr>
              <w:t>Cancers</w:t>
            </w:r>
            <w:r>
              <w:rPr>
                <w:rFonts w:hint="eastAsia" w:eastAsiaTheme="minorEastAsia"/>
                <w:kern w:val="0"/>
                <w:sz w:val="24"/>
                <w:szCs w:val="24"/>
              </w:rPr>
              <w:t>（</w:t>
            </w:r>
            <w:r>
              <w:rPr>
                <w:rFonts w:eastAsiaTheme="minorEastAsia"/>
                <w:kern w:val="0"/>
                <w:sz w:val="24"/>
                <w:szCs w:val="24"/>
              </w:rPr>
              <w:t>2018;10(6). pii: E181</w:t>
            </w:r>
            <w:r>
              <w:rPr>
                <w:rFonts w:hint="eastAsia" w:eastAsiaTheme="minorEastAsia"/>
                <w:kern w:val="0"/>
                <w:sz w:val="24"/>
                <w:szCs w:val="24"/>
              </w:rPr>
              <w:t>，</w:t>
            </w:r>
            <w:r>
              <w:rPr>
                <w:rFonts w:eastAsiaTheme="minorEastAsia"/>
                <w:kern w:val="0"/>
                <w:sz w:val="24"/>
                <w:szCs w:val="24"/>
              </w:rPr>
              <w:t>IF=</w:t>
            </w:r>
            <w:r>
              <w:rPr>
                <w:sz w:val="24"/>
                <w:szCs w:val="24"/>
              </w:rPr>
              <w:t>5.326</w:t>
            </w:r>
            <w:r>
              <w:rPr>
                <w:rFonts w:hint="eastAsia" w:eastAsiaTheme="minorEastAsia"/>
                <w:kern w:val="0"/>
                <w:sz w:val="24"/>
                <w:szCs w:val="24"/>
              </w:rPr>
              <w:t>）综述引用了我们的工作（</w:t>
            </w:r>
            <w:r>
              <w:rPr>
                <w:rFonts w:eastAsiaTheme="minorEastAsia"/>
                <w:kern w:val="0"/>
                <w:sz w:val="24"/>
                <w:szCs w:val="24"/>
              </w:rPr>
              <w:t>J Hepatol</w:t>
            </w:r>
            <w:r>
              <w:rPr>
                <w:rFonts w:hint="eastAsia" w:eastAsiaTheme="minorEastAsia"/>
                <w:kern w:val="0"/>
                <w:sz w:val="24"/>
                <w:szCs w:val="24"/>
              </w:rPr>
              <w:t xml:space="preserve"> </w:t>
            </w:r>
            <w:r>
              <w:rPr>
                <w:rFonts w:eastAsiaTheme="minorEastAsia"/>
                <w:kern w:val="0"/>
                <w:sz w:val="24"/>
                <w:szCs w:val="24"/>
              </w:rPr>
              <w:t>2014</w:t>
            </w:r>
            <w:r>
              <w:rPr>
                <w:rFonts w:hint="eastAsia" w:eastAsiaTheme="minorEastAsia"/>
                <w:kern w:val="0"/>
                <w:sz w:val="24"/>
                <w:szCs w:val="24"/>
              </w:rPr>
              <w:t>），认为</w:t>
            </w:r>
            <w:r>
              <w:rPr>
                <w:rFonts w:eastAsiaTheme="minorEastAsia"/>
                <w:kern w:val="0"/>
                <w:sz w:val="24"/>
                <w:szCs w:val="24"/>
              </w:rPr>
              <w:t>TP53</w:t>
            </w:r>
            <w:r>
              <w:rPr>
                <w:rFonts w:hint="eastAsia" w:eastAsiaTheme="minorEastAsia"/>
                <w:kern w:val="0"/>
                <w:sz w:val="24"/>
                <w:szCs w:val="24"/>
              </w:rPr>
              <w:t>与细胞代谢具有关联性。</w:t>
            </w:r>
          </w:p>
          <w:p>
            <w:pPr>
              <w:autoSpaceDE w:val="0"/>
              <w:autoSpaceDN w:val="0"/>
              <w:adjustRightInd w:val="0"/>
              <w:spacing w:line="360" w:lineRule="exact"/>
              <w:rPr>
                <w:rFonts w:eastAsiaTheme="minorEastAsia"/>
                <w:kern w:val="0"/>
                <w:sz w:val="24"/>
                <w:szCs w:val="24"/>
              </w:rPr>
            </w:pPr>
            <w:r>
              <w:rPr>
                <w:rFonts w:hint="eastAsia" w:eastAsiaTheme="minorEastAsia"/>
                <w:kern w:val="0"/>
                <w:sz w:val="24"/>
                <w:szCs w:val="24"/>
              </w:rPr>
              <w:t>（7）我们的工作（</w:t>
            </w:r>
            <w:r>
              <w:rPr>
                <w:rFonts w:eastAsiaTheme="minorEastAsia"/>
                <w:kern w:val="0"/>
                <w:sz w:val="24"/>
                <w:szCs w:val="24"/>
              </w:rPr>
              <w:t>J Hepatol</w:t>
            </w:r>
            <w:r>
              <w:rPr>
                <w:rFonts w:hint="eastAsia" w:eastAsiaTheme="minorEastAsia"/>
                <w:kern w:val="0"/>
                <w:sz w:val="24"/>
                <w:szCs w:val="24"/>
              </w:rPr>
              <w:t xml:space="preserve"> </w:t>
            </w:r>
            <w:r>
              <w:rPr>
                <w:rFonts w:eastAsiaTheme="minorEastAsia"/>
                <w:kern w:val="0"/>
                <w:sz w:val="24"/>
                <w:szCs w:val="24"/>
              </w:rPr>
              <w:t>2014</w:t>
            </w:r>
            <w:r>
              <w:rPr>
                <w:rFonts w:hint="eastAsia" w:eastAsiaTheme="minorEastAsia"/>
                <w:kern w:val="0"/>
                <w:sz w:val="24"/>
                <w:szCs w:val="24"/>
              </w:rPr>
              <w:t>）被</w:t>
            </w:r>
            <w:r>
              <w:rPr>
                <w:rFonts w:eastAsiaTheme="minorEastAsia"/>
                <w:kern w:val="0"/>
                <w:sz w:val="24"/>
                <w:szCs w:val="24"/>
              </w:rPr>
              <w:t>J Clin Endocrinol Metab</w:t>
            </w:r>
            <w:r>
              <w:rPr>
                <w:rFonts w:hint="eastAsia" w:eastAsiaTheme="minorEastAsia"/>
                <w:kern w:val="0"/>
                <w:sz w:val="24"/>
                <w:szCs w:val="24"/>
              </w:rPr>
              <w:t>（</w:t>
            </w:r>
            <w:r>
              <w:rPr>
                <w:rFonts w:eastAsiaTheme="minorEastAsia"/>
                <w:kern w:val="0"/>
                <w:sz w:val="24"/>
                <w:szCs w:val="24"/>
              </w:rPr>
              <w:t>2015;100(7):E955-63</w:t>
            </w:r>
            <w:r>
              <w:rPr>
                <w:rFonts w:hint="eastAsia" w:eastAsiaTheme="minorEastAsia"/>
                <w:kern w:val="0"/>
                <w:sz w:val="24"/>
                <w:szCs w:val="24"/>
              </w:rPr>
              <w:t>，</w:t>
            </w:r>
            <w:r>
              <w:rPr>
                <w:rFonts w:eastAsiaTheme="minorEastAsia"/>
                <w:kern w:val="0"/>
                <w:sz w:val="24"/>
                <w:szCs w:val="24"/>
              </w:rPr>
              <w:t>IF=5.789</w:t>
            </w:r>
            <w:r>
              <w:rPr>
                <w:rFonts w:hint="eastAsia" w:eastAsiaTheme="minorEastAsia"/>
                <w:kern w:val="0"/>
                <w:sz w:val="24"/>
                <w:szCs w:val="24"/>
              </w:rPr>
              <w:t>）引用，认为</w:t>
            </w:r>
            <w:r>
              <w:rPr>
                <w:rFonts w:eastAsiaTheme="minorEastAsia"/>
                <w:kern w:val="0"/>
                <w:sz w:val="24"/>
                <w:szCs w:val="24"/>
              </w:rPr>
              <w:t>CD147</w:t>
            </w:r>
            <w:r>
              <w:rPr>
                <w:rFonts w:hint="eastAsia" w:eastAsiaTheme="minorEastAsia"/>
                <w:kern w:val="0"/>
                <w:sz w:val="24"/>
                <w:szCs w:val="24"/>
              </w:rPr>
              <w:t>是一个跨膜糖蛋白，在细胞应答等方面起着重要作用。</w:t>
            </w:r>
          </w:p>
          <w:p>
            <w:pPr>
              <w:autoSpaceDE w:val="0"/>
              <w:autoSpaceDN w:val="0"/>
              <w:adjustRightInd w:val="0"/>
              <w:spacing w:line="360" w:lineRule="exact"/>
              <w:rPr>
                <w:rFonts w:eastAsiaTheme="minorEastAsia"/>
                <w:kern w:val="0"/>
                <w:sz w:val="24"/>
                <w:szCs w:val="24"/>
              </w:rPr>
            </w:pPr>
            <w:r>
              <w:rPr>
                <w:rFonts w:hint="eastAsia" w:eastAsiaTheme="minorEastAsia"/>
                <w:kern w:val="0"/>
                <w:sz w:val="24"/>
                <w:szCs w:val="24"/>
              </w:rPr>
              <w:t>（8）我们的工作（</w:t>
            </w:r>
            <w:r>
              <w:rPr>
                <w:rFonts w:eastAsiaTheme="minorEastAsia"/>
                <w:kern w:val="0"/>
                <w:sz w:val="24"/>
                <w:szCs w:val="24"/>
              </w:rPr>
              <w:t>J Hepatol</w:t>
            </w:r>
            <w:r>
              <w:rPr>
                <w:rFonts w:hint="eastAsia" w:eastAsiaTheme="minorEastAsia"/>
                <w:kern w:val="0"/>
                <w:sz w:val="24"/>
                <w:szCs w:val="24"/>
              </w:rPr>
              <w:t xml:space="preserve"> </w:t>
            </w:r>
            <w:r>
              <w:rPr>
                <w:rFonts w:eastAsiaTheme="minorEastAsia"/>
                <w:kern w:val="0"/>
                <w:sz w:val="24"/>
                <w:szCs w:val="24"/>
              </w:rPr>
              <w:t>2015</w:t>
            </w:r>
            <w:r>
              <w:rPr>
                <w:rFonts w:hint="eastAsia" w:eastAsiaTheme="minorEastAsia"/>
                <w:kern w:val="0"/>
                <w:sz w:val="24"/>
                <w:szCs w:val="24"/>
              </w:rPr>
              <w:t>）被</w:t>
            </w:r>
            <w:r>
              <w:rPr>
                <w:rFonts w:eastAsiaTheme="minorEastAsia"/>
                <w:kern w:val="0"/>
                <w:sz w:val="24"/>
                <w:szCs w:val="24"/>
              </w:rPr>
              <w:t>Cell Physiol Biochem</w:t>
            </w:r>
            <w:r>
              <w:rPr>
                <w:rFonts w:hint="eastAsia" w:eastAsiaTheme="minorEastAsia"/>
                <w:kern w:val="0"/>
                <w:sz w:val="24"/>
                <w:szCs w:val="24"/>
              </w:rPr>
              <w:t>（</w:t>
            </w:r>
            <w:r>
              <w:rPr>
                <w:rFonts w:eastAsiaTheme="minorEastAsia"/>
                <w:kern w:val="0"/>
                <w:sz w:val="24"/>
                <w:szCs w:val="24"/>
              </w:rPr>
              <w:t>2018;48(2):491-502</w:t>
            </w:r>
            <w:r>
              <w:rPr>
                <w:rFonts w:hint="eastAsia" w:eastAsiaTheme="minorEastAsia"/>
                <w:kern w:val="0"/>
                <w:sz w:val="24"/>
                <w:szCs w:val="24"/>
              </w:rPr>
              <w:t>，</w:t>
            </w:r>
            <w:r>
              <w:rPr>
                <w:rFonts w:eastAsiaTheme="minorEastAsia"/>
                <w:kern w:val="0"/>
                <w:sz w:val="24"/>
                <w:szCs w:val="24"/>
              </w:rPr>
              <w:t>IF=5.5</w:t>
            </w:r>
            <w:r>
              <w:rPr>
                <w:rFonts w:hint="eastAsia" w:eastAsiaTheme="minorEastAsia"/>
                <w:kern w:val="0"/>
                <w:sz w:val="24"/>
                <w:szCs w:val="24"/>
              </w:rPr>
              <w:t>）引用，认为</w:t>
            </w:r>
            <w:r>
              <w:rPr>
                <w:rFonts w:eastAsiaTheme="minorEastAsia"/>
                <w:kern w:val="0"/>
                <w:sz w:val="24"/>
                <w:szCs w:val="24"/>
              </w:rPr>
              <w:t>CPT1A</w:t>
            </w:r>
            <w:r>
              <w:rPr>
                <w:rFonts w:hint="eastAsia" w:eastAsiaTheme="minorEastAsia"/>
                <w:kern w:val="0"/>
                <w:sz w:val="24"/>
                <w:szCs w:val="24"/>
              </w:rPr>
              <w:t>在肝癌中下调，是由于</w:t>
            </w:r>
            <w:r>
              <w:rPr>
                <w:rFonts w:eastAsiaTheme="minorEastAsia"/>
                <w:kern w:val="0"/>
                <w:sz w:val="24"/>
                <w:szCs w:val="24"/>
              </w:rPr>
              <w:t>PPARα</w:t>
            </w:r>
            <w:r>
              <w:rPr>
                <w:rFonts w:hint="eastAsia" w:eastAsiaTheme="minorEastAsia"/>
                <w:kern w:val="0"/>
                <w:sz w:val="24"/>
                <w:szCs w:val="24"/>
              </w:rPr>
              <w:t>下调导致。</w:t>
            </w:r>
            <w:r>
              <w:rPr>
                <w:rFonts w:eastAsiaTheme="minorEastAsia"/>
                <w:kern w:val="0"/>
                <w:sz w:val="24"/>
                <w:szCs w:val="24"/>
              </w:rPr>
              <w:t>CPT1A</w:t>
            </w:r>
            <w:r>
              <w:rPr>
                <w:rFonts w:hint="eastAsia" w:eastAsiaTheme="minorEastAsia"/>
                <w:kern w:val="0"/>
                <w:sz w:val="24"/>
                <w:szCs w:val="24"/>
              </w:rPr>
              <w:t>和</w:t>
            </w:r>
            <w:r>
              <w:rPr>
                <w:rFonts w:eastAsiaTheme="minorEastAsia"/>
                <w:kern w:val="0"/>
                <w:sz w:val="24"/>
                <w:szCs w:val="24"/>
              </w:rPr>
              <w:t>PPARα</w:t>
            </w:r>
            <w:r>
              <w:rPr>
                <w:rFonts w:hint="eastAsia" w:eastAsiaTheme="minorEastAsia"/>
                <w:kern w:val="0"/>
                <w:sz w:val="24"/>
                <w:szCs w:val="24"/>
              </w:rPr>
              <w:t>下调导致</w:t>
            </w:r>
            <w:r>
              <w:rPr>
                <w:rFonts w:eastAsiaTheme="minorEastAsia"/>
                <w:kern w:val="0"/>
                <w:sz w:val="24"/>
                <w:szCs w:val="24"/>
              </w:rPr>
              <w:t>FAO</w:t>
            </w:r>
            <w:r>
              <w:rPr>
                <w:rFonts w:hint="eastAsia" w:eastAsiaTheme="minorEastAsia"/>
                <w:kern w:val="0"/>
                <w:sz w:val="24"/>
                <w:szCs w:val="24"/>
              </w:rPr>
              <w:t>抑制，促进肝癌生长和转移。</w:t>
            </w:r>
          </w:p>
          <w:p>
            <w:pPr>
              <w:autoSpaceDE w:val="0"/>
              <w:autoSpaceDN w:val="0"/>
              <w:adjustRightInd w:val="0"/>
              <w:spacing w:line="360" w:lineRule="exact"/>
              <w:rPr>
                <w:kern w:val="0"/>
                <w:sz w:val="24"/>
                <w:szCs w:val="24"/>
              </w:rPr>
            </w:pPr>
            <w:r>
              <w:rPr>
                <w:rFonts w:hint="eastAsia"/>
                <w:kern w:val="0"/>
                <w:sz w:val="24"/>
                <w:szCs w:val="24"/>
              </w:rPr>
              <w:t>（9）</w:t>
            </w:r>
            <w:r>
              <w:rPr>
                <w:sz w:val="24"/>
                <w:szCs w:val="24"/>
              </w:rPr>
              <w:t>Wen-fei Dong</w:t>
            </w:r>
            <w:r>
              <w:rPr>
                <w:rFonts w:hint="eastAsia"/>
                <w:sz w:val="24"/>
                <w:szCs w:val="24"/>
              </w:rPr>
              <w:t>教授在</w:t>
            </w:r>
            <w:r>
              <w:rPr>
                <w:sz w:val="24"/>
                <w:szCs w:val="24"/>
              </w:rPr>
              <w:t>ACS NANO</w:t>
            </w:r>
            <w:r>
              <w:rPr>
                <w:rFonts w:hint="eastAsia"/>
                <w:sz w:val="24"/>
                <w:szCs w:val="24"/>
              </w:rPr>
              <w:t>（</w:t>
            </w:r>
            <w:r>
              <w:rPr>
                <w:sz w:val="24"/>
                <w:szCs w:val="24"/>
              </w:rPr>
              <w:t>2017;11(12):12732-12741</w:t>
            </w:r>
            <w:r>
              <w:rPr>
                <w:rFonts w:hint="eastAsia"/>
                <w:sz w:val="24"/>
                <w:szCs w:val="24"/>
              </w:rPr>
              <w:t>，</w:t>
            </w:r>
            <w:r>
              <w:rPr>
                <w:sz w:val="24"/>
                <w:szCs w:val="24"/>
                <w:shd w:val="clear" w:color="auto" w:fill="FFFFFF"/>
              </w:rPr>
              <w:t>IF=13.709</w:t>
            </w:r>
            <w:r>
              <w:rPr>
                <w:rFonts w:hint="eastAsia"/>
                <w:sz w:val="24"/>
                <w:szCs w:val="24"/>
              </w:rPr>
              <w:t>）一文中，引用了我们的工作，指出辐射抵抗或辐射剂量的局限将不能根除低氧</w:t>
            </w:r>
            <w:r>
              <w:rPr>
                <w:sz w:val="24"/>
                <w:szCs w:val="24"/>
              </w:rPr>
              <w:t>HCC</w:t>
            </w:r>
            <w:r>
              <w:rPr>
                <w:rFonts w:hint="eastAsia"/>
                <w:sz w:val="24"/>
                <w:szCs w:val="24"/>
              </w:rPr>
              <w:t>瘤灶。</w:t>
            </w:r>
          </w:p>
          <w:p>
            <w:pPr>
              <w:tabs>
                <w:tab w:val="left" w:pos="426"/>
              </w:tabs>
              <w:autoSpaceDE w:val="0"/>
              <w:autoSpaceDN w:val="0"/>
              <w:adjustRightInd w:val="0"/>
              <w:spacing w:before="40" w:after="40" w:line="360" w:lineRule="exact"/>
              <w:rPr>
                <w:rFonts w:eastAsia="黑体"/>
                <w:b/>
                <w:kern w:val="0"/>
                <w:sz w:val="24"/>
                <w:szCs w:val="24"/>
              </w:rPr>
            </w:pPr>
            <w:r>
              <w:rPr>
                <w:rFonts w:hint="eastAsia" w:eastAsia="黑体"/>
                <w:b/>
                <w:kern w:val="0"/>
                <w:sz w:val="24"/>
                <w:szCs w:val="24"/>
              </w:rPr>
              <w:t>二、针对科学发现</w:t>
            </w:r>
            <w:r>
              <w:rPr>
                <w:rFonts w:eastAsia="黑体"/>
                <w:b/>
                <w:kern w:val="0"/>
                <w:sz w:val="24"/>
                <w:szCs w:val="24"/>
              </w:rPr>
              <w:t>-3</w:t>
            </w:r>
            <w:r>
              <w:rPr>
                <w:rFonts w:hint="eastAsia" w:eastAsia="黑体"/>
                <w:b/>
                <w:kern w:val="0"/>
                <w:sz w:val="24"/>
                <w:szCs w:val="24"/>
              </w:rPr>
              <w:t>的评述</w:t>
            </w:r>
          </w:p>
          <w:p>
            <w:pPr>
              <w:autoSpaceDE w:val="0"/>
              <w:autoSpaceDN w:val="0"/>
              <w:adjustRightInd w:val="0"/>
              <w:spacing w:line="360" w:lineRule="exact"/>
              <w:rPr>
                <w:kern w:val="0"/>
                <w:sz w:val="24"/>
                <w:szCs w:val="24"/>
              </w:rPr>
            </w:pPr>
            <w:r>
              <w:rPr>
                <w:rFonts w:hint="eastAsia"/>
                <w:sz w:val="24"/>
                <w:szCs w:val="24"/>
              </w:rPr>
              <w:t>（</w:t>
            </w:r>
            <w:r>
              <w:rPr>
                <w:sz w:val="24"/>
                <w:szCs w:val="24"/>
              </w:rPr>
              <w:t>1</w:t>
            </w:r>
            <w:r>
              <w:rPr>
                <w:rFonts w:hint="eastAsia"/>
                <w:sz w:val="24"/>
                <w:szCs w:val="24"/>
              </w:rPr>
              <w:t>）以色列</w:t>
            </w:r>
            <w:r>
              <w:rPr>
                <w:rFonts w:hint="eastAsia"/>
                <w:kern w:val="0"/>
                <w:sz w:val="24"/>
                <w:szCs w:val="24"/>
              </w:rPr>
              <w:t>艾拉</w:t>
            </w:r>
            <w:r>
              <w:rPr>
                <w:kern w:val="0"/>
                <w:sz w:val="24"/>
                <w:szCs w:val="24"/>
              </w:rPr>
              <w:t>·</w:t>
            </w:r>
            <w:r>
              <w:rPr>
                <w:rFonts w:hint="eastAsia"/>
                <w:kern w:val="0"/>
                <w:sz w:val="24"/>
                <w:szCs w:val="24"/>
              </w:rPr>
              <w:t>勒梅尔鲍姆免疫肿瘤学研究所的</w:t>
            </w:r>
            <w:r>
              <w:rPr>
                <w:sz w:val="24"/>
                <w:szCs w:val="24"/>
              </w:rPr>
              <w:t>Gal Markel</w:t>
            </w:r>
            <w:r>
              <w:rPr>
                <w:rFonts w:hint="eastAsia"/>
                <w:sz w:val="24"/>
                <w:szCs w:val="24"/>
              </w:rPr>
              <w:t>教授</w:t>
            </w:r>
            <w:r>
              <w:rPr>
                <w:rFonts w:hint="eastAsia"/>
                <w:kern w:val="0"/>
                <w:sz w:val="24"/>
                <w:szCs w:val="24"/>
              </w:rPr>
              <w:t>发表在</w:t>
            </w:r>
            <w:r>
              <w:rPr>
                <w:kern w:val="0"/>
                <w:sz w:val="24"/>
                <w:szCs w:val="24"/>
              </w:rPr>
              <w:t>Nat Commun</w:t>
            </w:r>
            <w:r>
              <w:rPr>
                <w:rFonts w:hint="eastAsia"/>
                <w:kern w:val="0"/>
                <w:sz w:val="24"/>
                <w:szCs w:val="24"/>
              </w:rPr>
              <w:t>（</w:t>
            </w:r>
            <w:r>
              <w:rPr>
                <w:kern w:val="0"/>
                <w:sz w:val="24"/>
                <w:szCs w:val="24"/>
              </w:rPr>
              <w:t>2018;9(1):2154</w:t>
            </w:r>
            <w:r>
              <w:rPr>
                <w:rFonts w:hint="eastAsia"/>
                <w:kern w:val="0"/>
                <w:sz w:val="24"/>
                <w:szCs w:val="24"/>
              </w:rPr>
              <w:t>，</w:t>
            </w:r>
            <w:r>
              <w:rPr>
                <w:kern w:val="0"/>
                <w:sz w:val="24"/>
                <w:szCs w:val="24"/>
              </w:rPr>
              <w:t>IF=</w:t>
            </w:r>
            <w:r>
              <w:rPr>
                <w:sz w:val="24"/>
                <w:szCs w:val="24"/>
              </w:rPr>
              <w:t>12.353</w:t>
            </w:r>
            <w:r>
              <w:rPr>
                <w:rFonts w:hint="eastAsia"/>
                <w:kern w:val="0"/>
                <w:sz w:val="24"/>
                <w:szCs w:val="24"/>
              </w:rPr>
              <w:t>）的文章肯定了我们的工作（Cancer Res 2014），认为</w:t>
            </w:r>
            <w:r>
              <w:rPr>
                <w:kern w:val="0"/>
                <w:sz w:val="24"/>
                <w:szCs w:val="24"/>
              </w:rPr>
              <w:t>miR-22</w:t>
            </w:r>
            <w:r>
              <w:rPr>
                <w:rFonts w:hint="eastAsia"/>
                <w:kern w:val="0"/>
                <w:sz w:val="24"/>
                <w:szCs w:val="24"/>
              </w:rPr>
              <w:t>的转录调控受</w:t>
            </w:r>
            <w:r>
              <w:rPr>
                <w:kern w:val="0"/>
                <w:sz w:val="24"/>
                <w:szCs w:val="24"/>
              </w:rPr>
              <w:t>Sp1</w:t>
            </w:r>
            <w:r>
              <w:rPr>
                <w:rFonts w:hint="eastAsia"/>
                <w:kern w:val="0"/>
                <w:sz w:val="24"/>
                <w:szCs w:val="24"/>
              </w:rPr>
              <w:t>和</w:t>
            </w:r>
            <w:r>
              <w:rPr>
                <w:kern w:val="0"/>
                <w:sz w:val="24"/>
                <w:szCs w:val="24"/>
              </w:rPr>
              <w:t>AKT</w:t>
            </w:r>
            <w:r>
              <w:rPr>
                <w:rFonts w:hint="eastAsia"/>
                <w:kern w:val="0"/>
                <w:sz w:val="24"/>
                <w:szCs w:val="24"/>
              </w:rPr>
              <w:t>的影响。</w:t>
            </w:r>
          </w:p>
          <w:p>
            <w:pPr>
              <w:autoSpaceDE w:val="0"/>
              <w:autoSpaceDN w:val="0"/>
              <w:adjustRightInd w:val="0"/>
              <w:spacing w:line="360" w:lineRule="exact"/>
              <w:rPr>
                <w:sz w:val="24"/>
                <w:szCs w:val="24"/>
              </w:rPr>
            </w:pPr>
            <w:r>
              <w:rPr>
                <w:rFonts w:hint="eastAsia"/>
                <w:kern w:val="0"/>
                <w:sz w:val="24"/>
                <w:szCs w:val="24"/>
              </w:rPr>
              <w:t>（2）旧金山大学维多利亚分校的</w:t>
            </w:r>
            <w:r>
              <w:rPr>
                <w:sz w:val="24"/>
                <w:szCs w:val="24"/>
              </w:rPr>
              <w:t>Carlos Zaragoza</w:t>
            </w:r>
            <w:r>
              <w:rPr>
                <w:kern w:val="0"/>
                <w:sz w:val="24"/>
                <w:szCs w:val="24"/>
              </w:rPr>
              <w:t xml:space="preserve"> </w:t>
            </w:r>
            <w:r>
              <w:rPr>
                <w:rFonts w:hint="eastAsia"/>
                <w:kern w:val="0"/>
                <w:sz w:val="24"/>
                <w:szCs w:val="24"/>
              </w:rPr>
              <w:t>教授发表在</w:t>
            </w:r>
            <w:r>
              <w:rPr>
                <w:sz w:val="24"/>
                <w:szCs w:val="24"/>
              </w:rPr>
              <w:t>Theranostics</w:t>
            </w:r>
            <w:r>
              <w:rPr>
                <w:rFonts w:hint="eastAsia"/>
                <w:sz w:val="24"/>
                <w:szCs w:val="24"/>
              </w:rPr>
              <w:t>（</w:t>
            </w:r>
            <w:r>
              <w:rPr>
                <w:sz w:val="24"/>
                <w:szCs w:val="24"/>
              </w:rPr>
              <w:t>2016 Feb 15;6(4):545-557</w:t>
            </w:r>
            <w:r>
              <w:rPr>
                <w:rFonts w:hint="eastAsia"/>
                <w:sz w:val="24"/>
                <w:szCs w:val="24"/>
              </w:rPr>
              <w:t>，</w:t>
            </w:r>
            <w:r>
              <w:rPr>
                <w:sz w:val="24"/>
                <w:szCs w:val="24"/>
              </w:rPr>
              <w:t>IF=8.854</w:t>
            </w:r>
            <w:r>
              <w:rPr>
                <w:rFonts w:hint="eastAsia"/>
                <w:sz w:val="24"/>
                <w:szCs w:val="24"/>
              </w:rPr>
              <w:t>）的文章引用了我们的工作</w:t>
            </w:r>
            <w:r>
              <w:rPr>
                <w:rFonts w:hint="eastAsia"/>
                <w:kern w:val="0"/>
                <w:sz w:val="24"/>
                <w:szCs w:val="24"/>
              </w:rPr>
              <w:t>（Cancer Res 2014）</w:t>
            </w:r>
            <w:r>
              <w:rPr>
                <w:rFonts w:hint="eastAsia"/>
                <w:sz w:val="24"/>
                <w:szCs w:val="24"/>
              </w:rPr>
              <w:t>，认为靶向CD147/</w:t>
            </w:r>
            <w:r>
              <w:rPr>
                <w:sz w:val="24"/>
                <w:szCs w:val="24"/>
              </w:rPr>
              <w:t>EMMPRIN</w:t>
            </w:r>
            <w:r>
              <w:rPr>
                <w:rFonts w:hint="eastAsia"/>
                <w:sz w:val="24"/>
                <w:szCs w:val="24"/>
              </w:rPr>
              <w:t>可以作为一个治疗机制。</w:t>
            </w:r>
          </w:p>
          <w:p>
            <w:pPr>
              <w:autoSpaceDE w:val="0"/>
              <w:autoSpaceDN w:val="0"/>
              <w:adjustRightInd w:val="0"/>
              <w:spacing w:line="360" w:lineRule="exact"/>
              <w:rPr>
                <w:sz w:val="24"/>
                <w:szCs w:val="24"/>
              </w:rPr>
            </w:pPr>
            <w:r>
              <w:rPr>
                <w:rFonts w:hint="eastAsia"/>
                <w:sz w:val="24"/>
                <w:szCs w:val="24"/>
              </w:rPr>
              <w:t>（3）英国伦敦伦敦帝国理工学院Keun教授发表在</w:t>
            </w:r>
            <w:r>
              <w:rPr>
                <w:sz w:val="24"/>
                <w:szCs w:val="24"/>
              </w:rPr>
              <w:t>Oncogene</w:t>
            </w:r>
            <w:r>
              <w:rPr>
                <w:rFonts w:hint="eastAsia"/>
                <w:sz w:val="24"/>
                <w:szCs w:val="24"/>
              </w:rPr>
              <w:t>（2015 Oct 19;pii:onc2015333，IF=6.854）的文章引用了我们的工作（</w:t>
            </w:r>
            <w:r>
              <w:rPr>
                <w:rFonts w:hint="eastAsia"/>
                <w:kern w:val="0"/>
                <w:sz w:val="24"/>
                <w:szCs w:val="24"/>
              </w:rPr>
              <w:t>Cancer Res 2014），</w:t>
            </w:r>
            <w:r>
              <w:rPr>
                <w:rFonts w:hint="eastAsia"/>
                <w:sz w:val="24"/>
                <w:szCs w:val="24"/>
              </w:rPr>
              <w:t>指出乳腺癌中，miR-22能通过抑制CD147的表达阻断肿瘤进展。</w:t>
            </w:r>
          </w:p>
          <w:p>
            <w:pPr>
              <w:autoSpaceDE w:val="0"/>
              <w:autoSpaceDN w:val="0"/>
              <w:adjustRightInd w:val="0"/>
              <w:spacing w:line="360" w:lineRule="exact"/>
              <w:rPr>
                <w:sz w:val="24"/>
                <w:szCs w:val="24"/>
              </w:rPr>
            </w:pPr>
            <w:r>
              <w:rPr>
                <w:rFonts w:hint="eastAsia"/>
                <w:sz w:val="24"/>
                <w:szCs w:val="24"/>
              </w:rPr>
              <w:t>（4）北京协和医院的Renzhi Wang教授发表在Mol Neurobiol（2017;54(2):1568-1576，IF=5.076）的文章肯定了我们的工作（</w:t>
            </w:r>
            <w:r>
              <w:rPr>
                <w:rFonts w:hint="eastAsia"/>
                <w:kern w:val="0"/>
                <w:sz w:val="24"/>
                <w:szCs w:val="24"/>
              </w:rPr>
              <w:t>Cancer Res 2014）</w:t>
            </w:r>
            <w:r>
              <w:rPr>
                <w:rFonts w:hint="eastAsia"/>
                <w:sz w:val="24"/>
                <w:szCs w:val="24"/>
              </w:rPr>
              <w:t>，将CD147作为靶点指导肿瘤的治疗。</w:t>
            </w:r>
          </w:p>
          <w:p>
            <w:pPr>
              <w:autoSpaceDE w:val="0"/>
              <w:autoSpaceDN w:val="0"/>
              <w:adjustRightInd w:val="0"/>
              <w:spacing w:line="360" w:lineRule="exact"/>
              <w:rPr>
                <w:rFonts w:eastAsiaTheme="minorEastAsia"/>
                <w:sz w:val="24"/>
                <w:szCs w:val="24"/>
              </w:rPr>
            </w:pPr>
            <w:r>
              <w:rPr>
                <w:rFonts w:hint="eastAsia"/>
                <w:sz w:val="24"/>
                <w:szCs w:val="24"/>
              </w:rPr>
              <w:t>（5）南京大学</w:t>
            </w:r>
            <w:r>
              <w:rPr>
                <w:sz w:val="24"/>
                <w:szCs w:val="24"/>
              </w:rPr>
              <w:t>Xi Chen</w:t>
            </w:r>
            <w:r>
              <w:rPr>
                <w:rFonts w:hint="eastAsia"/>
                <w:sz w:val="24"/>
                <w:szCs w:val="24"/>
              </w:rPr>
              <w:t>教授发表在</w:t>
            </w:r>
            <w:r>
              <w:rPr>
                <w:sz w:val="24"/>
                <w:szCs w:val="24"/>
              </w:rPr>
              <w:t>Mol Cancer (2018;17(1):11</w:t>
            </w:r>
            <w:r>
              <w:rPr>
                <w:rFonts w:hint="eastAsia"/>
                <w:sz w:val="24"/>
                <w:szCs w:val="24"/>
              </w:rPr>
              <w:t>，</w:t>
            </w:r>
            <w:r>
              <w:rPr>
                <w:sz w:val="24"/>
                <w:szCs w:val="24"/>
              </w:rPr>
              <w:t>IF= 5.888)</w:t>
            </w:r>
            <w:r>
              <w:rPr>
                <w:rFonts w:hint="eastAsia"/>
                <w:sz w:val="24"/>
                <w:szCs w:val="24"/>
              </w:rPr>
              <w:t>的文章引用了我们的</w:t>
            </w:r>
            <w:r>
              <w:rPr>
                <w:sz w:val="24"/>
                <w:szCs w:val="24"/>
              </w:rPr>
              <w:t>工作</w:t>
            </w:r>
            <w:r>
              <w:rPr>
                <w:rFonts w:hint="eastAsia"/>
                <w:sz w:val="24"/>
                <w:szCs w:val="24"/>
              </w:rPr>
              <w:t>（</w:t>
            </w:r>
            <w:r>
              <w:rPr>
                <w:sz w:val="24"/>
                <w:szCs w:val="24"/>
              </w:rPr>
              <w:t>Cancer Res</w:t>
            </w:r>
            <w:r>
              <w:rPr>
                <w:rFonts w:hint="eastAsia"/>
                <w:sz w:val="24"/>
                <w:szCs w:val="24"/>
              </w:rPr>
              <w:t xml:space="preserve"> </w:t>
            </w:r>
            <w:r>
              <w:rPr>
                <w:sz w:val="24"/>
                <w:szCs w:val="24"/>
              </w:rPr>
              <w:t>2014</w:t>
            </w:r>
            <w:r>
              <w:rPr>
                <w:rFonts w:hint="eastAsia"/>
                <w:sz w:val="24"/>
                <w:szCs w:val="24"/>
              </w:rPr>
              <w:t>），肯定</w:t>
            </w:r>
            <w:r>
              <w:rPr>
                <w:sz w:val="24"/>
                <w:szCs w:val="24"/>
              </w:rPr>
              <w:t>miR-22</w:t>
            </w:r>
            <w:r>
              <w:rPr>
                <w:rFonts w:hint="eastAsia"/>
                <w:sz w:val="24"/>
                <w:szCs w:val="24"/>
              </w:rPr>
              <w:t>通过靶向</w:t>
            </w:r>
            <w:r>
              <w:rPr>
                <w:sz w:val="24"/>
                <w:szCs w:val="24"/>
              </w:rPr>
              <w:t>SP1</w:t>
            </w:r>
            <w:r>
              <w:rPr>
                <w:rFonts w:hint="eastAsia"/>
                <w:sz w:val="24"/>
                <w:szCs w:val="24"/>
              </w:rPr>
              <w:t>、</w:t>
            </w:r>
            <w:r>
              <w:rPr>
                <w:sz w:val="24"/>
                <w:szCs w:val="24"/>
              </w:rPr>
              <w:t>C</w:t>
            </w:r>
            <w:r>
              <w:rPr>
                <w:rFonts w:eastAsiaTheme="minorEastAsia"/>
                <w:sz w:val="24"/>
                <w:szCs w:val="24"/>
              </w:rPr>
              <w:t>D147和GLUT1而抑制癌的侵袭和迁移的作用。</w:t>
            </w:r>
          </w:p>
          <w:p>
            <w:pPr>
              <w:autoSpaceDE w:val="0"/>
              <w:autoSpaceDN w:val="0"/>
              <w:adjustRightInd w:val="0"/>
              <w:spacing w:line="360" w:lineRule="exact"/>
              <w:rPr>
                <w:rFonts w:eastAsiaTheme="minorEastAsia"/>
                <w:kern w:val="0"/>
                <w:sz w:val="24"/>
                <w:szCs w:val="24"/>
              </w:rPr>
            </w:pPr>
            <w:r>
              <w:rPr>
                <w:rFonts w:hint="eastAsia" w:eastAsiaTheme="minorEastAsia"/>
                <w:sz w:val="24"/>
                <w:szCs w:val="24"/>
              </w:rPr>
              <w:t>（6）</w:t>
            </w:r>
            <w:r>
              <w:rPr>
                <w:sz w:val="24"/>
                <w:szCs w:val="24"/>
              </w:rPr>
              <w:t>Jun-Wu Zhang</w:t>
            </w:r>
            <w:r>
              <w:rPr>
                <w:rFonts w:hint="eastAsia"/>
                <w:sz w:val="24"/>
                <w:szCs w:val="24"/>
              </w:rPr>
              <w:t>教授</w:t>
            </w:r>
            <w:r>
              <w:rPr>
                <w:rFonts w:eastAsiaTheme="minorEastAsia"/>
                <w:kern w:val="0"/>
                <w:sz w:val="24"/>
                <w:szCs w:val="24"/>
              </w:rPr>
              <w:t>发表在PLoS Genet（2016;12(9):e1006259，IF</w:t>
            </w:r>
            <w:r>
              <w:rPr>
                <w:rFonts w:hint="eastAsia" w:eastAsiaTheme="minorEastAsia"/>
                <w:kern w:val="0"/>
                <w:sz w:val="24"/>
                <w:szCs w:val="24"/>
              </w:rPr>
              <w:t>=</w:t>
            </w:r>
            <w:r>
              <w:rPr>
                <w:rFonts w:eastAsiaTheme="minorEastAsia"/>
                <w:kern w:val="0"/>
                <w:sz w:val="24"/>
                <w:szCs w:val="24"/>
              </w:rPr>
              <w:t>5.54）</w:t>
            </w:r>
            <w:r>
              <w:rPr>
                <w:rFonts w:hint="eastAsia" w:eastAsiaTheme="minorEastAsia"/>
                <w:kern w:val="0"/>
                <w:sz w:val="24"/>
                <w:szCs w:val="24"/>
              </w:rPr>
              <w:t>的</w:t>
            </w:r>
            <w:r>
              <w:rPr>
                <w:rFonts w:eastAsiaTheme="minorEastAsia"/>
                <w:kern w:val="0"/>
                <w:sz w:val="24"/>
                <w:szCs w:val="24"/>
              </w:rPr>
              <w:t>文章，肯定了我们的工作</w:t>
            </w:r>
            <w:r>
              <w:rPr>
                <w:rFonts w:hint="eastAsia"/>
                <w:sz w:val="24"/>
                <w:szCs w:val="24"/>
              </w:rPr>
              <w:t>（</w:t>
            </w:r>
            <w:r>
              <w:rPr>
                <w:sz w:val="24"/>
                <w:szCs w:val="24"/>
              </w:rPr>
              <w:t>Cancer Res</w:t>
            </w:r>
            <w:r>
              <w:rPr>
                <w:rFonts w:hint="eastAsia"/>
                <w:sz w:val="24"/>
                <w:szCs w:val="24"/>
              </w:rPr>
              <w:t xml:space="preserve"> </w:t>
            </w:r>
            <w:r>
              <w:rPr>
                <w:sz w:val="24"/>
                <w:szCs w:val="24"/>
              </w:rPr>
              <w:t>2014</w:t>
            </w:r>
            <w:r>
              <w:rPr>
                <w:rFonts w:hint="eastAsia"/>
                <w:sz w:val="24"/>
                <w:szCs w:val="24"/>
              </w:rPr>
              <w:t>）</w:t>
            </w:r>
            <w:r>
              <w:rPr>
                <w:rFonts w:eastAsiaTheme="minorEastAsia"/>
                <w:kern w:val="0"/>
                <w:sz w:val="24"/>
                <w:szCs w:val="24"/>
              </w:rPr>
              <w:t>，miR-22在乳腺癌中抑制细胞增殖，引起细胞周期阻滞，促进细胞死亡。</w:t>
            </w:r>
          </w:p>
          <w:p>
            <w:pPr>
              <w:autoSpaceDE w:val="0"/>
              <w:autoSpaceDN w:val="0"/>
              <w:adjustRightInd w:val="0"/>
              <w:spacing w:line="360" w:lineRule="exact"/>
              <w:rPr>
                <w:rFonts w:eastAsiaTheme="minorEastAsia"/>
                <w:kern w:val="0"/>
                <w:sz w:val="24"/>
                <w:szCs w:val="24"/>
              </w:rPr>
            </w:pPr>
            <w:r>
              <w:rPr>
                <w:rFonts w:hint="eastAsia" w:eastAsiaTheme="minorEastAsia"/>
                <w:kern w:val="0"/>
                <w:sz w:val="24"/>
                <w:szCs w:val="24"/>
              </w:rPr>
              <w:t>（7）</w:t>
            </w:r>
            <w:r>
              <w:rPr>
                <w:rFonts w:hint="eastAsia"/>
                <w:sz w:val="24"/>
                <w:szCs w:val="24"/>
              </w:rPr>
              <w:t>美国国家癌症研究所</w:t>
            </w:r>
            <w:r>
              <w:rPr>
                <w:sz w:val="24"/>
                <w:szCs w:val="24"/>
              </w:rPr>
              <w:t>Joel Morris</w:t>
            </w:r>
            <w:r>
              <w:rPr>
                <w:rFonts w:hint="eastAsia"/>
                <w:sz w:val="24"/>
                <w:szCs w:val="24"/>
              </w:rPr>
              <w:t>教授发表在</w:t>
            </w:r>
            <w:r>
              <w:rPr>
                <w:sz w:val="24"/>
                <w:szCs w:val="24"/>
              </w:rPr>
              <w:t>Mol Cancer Ther</w:t>
            </w:r>
            <w:r>
              <w:rPr>
                <w:rFonts w:hint="eastAsia"/>
                <w:sz w:val="24"/>
                <w:szCs w:val="24"/>
              </w:rPr>
              <w:t>（</w:t>
            </w:r>
            <w:r>
              <w:rPr>
                <w:sz w:val="24"/>
                <w:szCs w:val="24"/>
              </w:rPr>
              <w:t>2015;14(11):2452-62</w:t>
            </w:r>
            <w:r>
              <w:rPr>
                <w:rFonts w:hint="eastAsia"/>
                <w:sz w:val="24"/>
                <w:szCs w:val="24"/>
              </w:rPr>
              <w:t>，</w:t>
            </w:r>
            <w:r>
              <w:rPr>
                <w:sz w:val="24"/>
                <w:szCs w:val="24"/>
              </w:rPr>
              <w:t>IF=5.365</w:t>
            </w:r>
            <w:r>
              <w:rPr>
                <w:rFonts w:hint="eastAsia"/>
                <w:sz w:val="24"/>
                <w:szCs w:val="24"/>
              </w:rPr>
              <w:t>）的文章引用了我们的工作（</w:t>
            </w:r>
            <w:r>
              <w:rPr>
                <w:sz w:val="24"/>
                <w:szCs w:val="24"/>
              </w:rPr>
              <w:t>Cancer Res</w:t>
            </w:r>
            <w:r>
              <w:rPr>
                <w:rFonts w:hint="eastAsia"/>
                <w:sz w:val="24"/>
                <w:szCs w:val="24"/>
              </w:rPr>
              <w:t xml:space="preserve"> </w:t>
            </w:r>
            <w:r>
              <w:rPr>
                <w:sz w:val="24"/>
                <w:szCs w:val="24"/>
              </w:rPr>
              <w:t>2014</w:t>
            </w:r>
            <w:r>
              <w:rPr>
                <w:rFonts w:hint="eastAsia"/>
                <w:sz w:val="24"/>
                <w:szCs w:val="24"/>
              </w:rPr>
              <w:t>），肯定了</w:t>
            </w:r>
            <w:r>
              <w:rPr>
                <w:sz w:val="24"/>
                <w:szCs w:val="24"/>
              </w:rPr>
              <w:t>c-Myc</w:t>
            </w:r>
            <w:r>
              <w:rPr>
                <w:rFonts w:hint="eastAsia"/>
                <w:sz w:val="24"/>
                <w:szCs w:val="24"/>
              </w:rPr>
              <w:t>的表达能引起</w:t>
            </w:r>
            <w:r>
              <w:rPr>
                <w:sz w:val="24"/>
                <w:szCs w:val="24"/>
              </w:rPr>
              <w:t>miR-22</w:t>
            </w:r>
            <w:r>
              <w:rPr>
                <w:rFonts w:hint="eastAsia"/>
                <w:sz w:val="24"/>
                <w:szCs w:val="24"/>
              </w:rPr>
              <w:t>的下调。</w:t>
            </w:r>
          </w:p>
          <w:p>
            <w:pPr>
              <w:autoSpaceDE w:val="0"/>
              <w:autoSpaceDN w:val="0"/>
              <w:adjustRightInd w:val="0"/>
              <w:spacing w:line="360" w:lineRule="exact"/>
              <w:rPr>
                <w:sz w:val="24"/>
                <w:szCs w:val="24"/>
              </w:rPr>
            </w:pPr>
            <w:r>
              <w:rPr>
                <w:rFonts w:hint="eastAsia"/>
                <w:sz w:val="24"/>
                <w:szCs w:val="24"/>
              </w:rPr>
              <w:t>（8）北卡罗来纳大学的</w:t>
            </w:r>
            <w:r>
              <w:rPr>
                <w:sz w:val="24"/>
                <w:szCs w:val="24"/>
              </w:rPr>
              <w:t>IvanRusyn</w:t>
            </w:r>
            <w:r>
              <w:rPr>
                <w:rFonts w:hint="eastAsia"/>
                <w:sz w:val="24"/>
                <w:szCs w:val="24"/>
              </w:rPr>
              <w:t>教授发表在</w:t>
            </w:r>
            <w:r>
              <w:rPr>
                <w:sz w:val="24"/>
                <w:szCs w:val="24"/>
              </w:rPr>
              <w:t>Cancer Lett</w:t>
            </w:r>
            <w:r>
              <w:rPr>
                <w:rFonts w:hint="eastAsia"/>
                <w:sz w:val="24"/>
                <w:szCs w:val="24"/>
              </w:rPr>
              <w:t>（</w:t>
            </w:r>
            <w:r>
              <w:rPr>
                <w:sz w:val="24"/>
                <w:szCs w:val="24"/>
              </w:rPr>
              <w:t>2014;342(2):223-30</w:t>
            </w:r>
            <w:r>
              <w:rPr>
                <w:rFonts w:hint="eastAsia"/>
                <w:sz w:val="24"/>
                <w:szCs w:val="24"/>
              </w:rPr>
              <w:t>，</w:t>
            </w:r>
            <w:r>
              <w:rPr>
                <w:sz w:val="24"/>
                <w:szCs w:val="24"/>
              </w:rPr>
              <w:t>IF=5.992</w:t>
            </w:r>
            <w:r>
              <w:rPr>
                <w:rFonts w:hint="eastAsia"/>
                <w:sz w:val="24"/>
                <w:szCs w:val="24"/>
              </w:rPr>
              <w:t>）的综述引用了我们的研究（</w:t>
            </w:r>
            <w:r>
              <w:rPr>
                <w:sz w:val="24"/>
                <w:szCs w:val="24"/>
              </w:rPr>
              <w:t>J Cell Mol Med</w:t>
            </w:r>
            <w:r>
              <w:rPr>
                <w:rFonts w:hint="eastAsia"/>
                <w:sz w:val="24"/>
                <w:szCs w:val="24"/>
              </w:rPr>
              <w:t xml:space="preserve"> 2011），肯定原发性</w:t>
            </w:r>
            <w:r>
              <w:rPr>
                <w:sz w:val="24"/>
                <w:szCs w:val="24"/>
              </w:rPr>
              <w:t>HCC</w:t>
            </w:r>
            <w:r>
              <w:rPr>
                <w:rFonts w:hint="eastAsia"/>
                <w:sz w:val="24"/>
                <w:szCs w:val="24"/>
              </w:rPr>
              <w:t>中去甲基化上调驱动基因</w:t>
            </w:r>
            <w:r>
              <w:rPr>
                <w:sz w:val="24"/>
                <w:szCs w:val="24"/>
              </w:rPr>
              <w:t>CD147</w:t>
            </w:r>
            <w:r>
              <w:rPr>
                <w:rFonts w:hint="eastAsia"/>
                <w:sz w:val="24"/>
                <w:szCs w:val="24"/>
              </w:rPr>
              <w:t>的表达。</w:t>
            </w:r>
          </w:p>
          <w:p>
            <w:pPr>
              <w:autoSpaceDE w:val="0"/>
              <w:autoSpaceDN w:val="0"/>
              <w:adjustRightInd w:val="0"/>
              <w:spacing w:line="360" w:lineRule="exact"/>
              <w:rPr>
                <w:sz w:val="24"/>
                <w:szCs w:val="24"/>
              </w:rPr>
            </w:pPr>
            <w:r>
              <w:rPr>
                <w:rFonts w:hint="eastAsia"/>
                <w:sz w:val="24"/>
                <w:szCs w:val="24"/>
              </w:rPr>
              <w:t>（9）赫瑞瓦特大学的</w:t>
            </w:r>
            <w:r>
              <w:rPr>
                <w:sz w:val="24"/>
                <w:szCs w:val="24"/>
              </w:rPr>
              <w:t>Mihalis I. Panayiotidis</w:t>
            </w:r>
            <w:r>
              <w:rPr>
                <w:rFonts w:hint="eastAsia"/>
                <w:sz w:val="24"/>
                <w:szCs w:val="24"/>
              </w:rPr>
              <w:t>教授发表在</w:t>
            </w:r>
            <w:r>
              <w:rPr>
                <w:sz w:val="24"/>
                <w:szCs w:val="24"/>
              </w:rPr>
              <w:t>Pharm Ther</w:t>
            </w:r>
            <w:r>
              <w:rPr>
                <w:rFonts w:hint="eastAsia"/>
                <w:sz w:val="24"/>
                <w:szCs w:val="24"/>
              </w:rPr>
              <w:t>（</w:t>
            </w:r>
            <w:r>
              <w:rPr>
                <w:sz w:val="24"/>
                <w:szCs w:val="24"/>
              </w:rPr>
              <w:t>2015;145:103-19, IF=10.376</w:t>
            </w:r>
            <w:r>
              <w:rPr>
                <w:rFonts w:hint="eastAsia"/>
                <w:sz w:val="24"/>
                <w:szCs w:val="24"/>
              </w:rPr>
              <w:t>）的论著引用</w:t>
            </w:r>
            <w:r>
              <w:rPr>
                <w:sz w:val="24"/>
                <w:szCs w:val="24"/>
              </w:rPr>
              <w:t>了我们的研究</w:t>
            </w:r>
            <w:r>
              <w:rPr>
                <w:rFonts w:hint="eastAsia"/>
                <w:sz w:val="24"/>
                <w:szCs w:val="24"/>
              </w:rPr>
              <w:t>（</w:t>
            </w:r>
            <w:r>
              <w:rPr>
                <w:sz w:val="24"/>
                <w:szCs w:val="24"/>
              </w:rPr>
              <w:t>J Cell Mol Med</w:t>
            </w:r>
            <w:r>
              <w:rPr>
                <w:rFonts w:hint="eastAsia"/>
                <w:sz w:val="24"/>
                <w:szCs w:val="24"/>
              </w:rPr>
              <w:t xml:space="preserve"> 2011），肯定了</w:t>
            </w:r>
            <w:r>
              <w:rPr>
                <w:sz w:val="24"/>
                <w:szCs w:val="24"/>
              </w:rPr>
              <w:t>CD147</w:t>
            </w:r>
            <w:r>
              <w:rPr>
                <w:rFonts w:hint="eastAsia"/>
                <w:sz w:val="24"/>
                <w:szCs w:val="24"/>
              </w:rPr>
              <w:t>是</w:t>
            </w:r>
            <w:r>
              <w:rPr>
                <w:sz w:val="24"/>
                <w:szCs w:val="24"/>
              </w:rPr>
              <w:t>MMP</w:t>
            </w:r>
            <w:r>
              <w:rPr>
                <w:rFonts w:hint="eastAsia"/>
                <w:sz w:val="24"/>
                <w:szCs w:val="24"/>
              </w:rPr>
              <w:t>表达的诱导剂。</w:t>
            </w:r>
          </w:p>
          <w:p>
            <w:pPr>
              <w:autoSpaceDE w:val="0"/>
              <w:autoSpaceDN w:val="0"/>
              <w:adjustRightInd w:val="0"/>
              <w:spacing w:line="360" w:lineRule="exact"/>
              <w:rPr>
                <w:sz w:val="24"/>
                <w:szCs w:val="24"/>
              </w:rPr>
            </w:pPr>
            <w:r>
              <w:rPr>
                <w:rFonts w:hint="eastAsia"/>
                <w:sz w:val="24"/>
                <w:szCs w:val="24"/>
              </w:rPr>
              <w:t>（10）南方医科大学Longhua Chen教授发表在</w:t>
            </w:r>
            <w:r>
              <w:rPr>
                <w:sz w:val="24"/>
                <w:szCs w:val="24"/>
              </w:rPr>
              <w:t>Int J Cancer</w:t>
            </w:r>
            <w:r>
              <w:rPr>
                <w:rFonts w:hint="eastAsia"/>
                <w:sz w:val="24"/>
                <w:szCs w:val="24"/>
              </w:rPr>
              <w:t>（</w:t>
            </w:r>
            <w:r>
              <w:rPr>
                <w:sz w:val="24"/>
                <w:szCs w:val="24"/>
              </w:rPr>
              <w:t>2013;132(1):90-100, IF=5.531</w:t>
            </w:r>
            <w:r>
              <w:rPr>
                <w:rFonts w:hint="eastAsia"/>
                <w:sz w:val="24"/>
                <w:szCs w:val="24"/>
              </w:rPr>
              <w:t>）也肯定了我们的研究（</w:t>
            </w:r>
            <w:r>
              <w:rPr>
                <w:sz w:val="24"/>
                <w:szCs w:val="24"/>
              </w:rPr>
              <w:t>J Cell Mol Med</w:t>
            </w:r>
            <w:r>
              <w:rPr>
                <w:rFonts w:hint="eastAsia"/>
                <w:sz w:val="24"/>
                <w:szCs w:val="24"/>
              </w:rPr>
              <w:t xml:space="preserve"> 2011），指出在</w:t>
            </w:r>
            <w:r>
              <w:rPr>
                <w:sz w:val="24"/>
                <w:szCs w:val="24"/>
              </w:rPr>
              <w:t>HCC</w:t>
            </w:r>
            <w:r>
              <w:rPr>
                <w:rFonts w:hint="eastAsia"/>
                <w:sz w:val="24"/>
                <w:szCs w:val="24"/>
              </w:rPr>
              <w:t>中肿瘤相关的基因启动子区低甲基化。</w:t>
            </w:r>
          </w:p>
          <w:p>
            <w:pPr>
              <w:tabs>
                <w:tab w:val="left" w:pos="426"/>
              </w:tabs>
              <w:autoSpaceDE w:val="0"/>
              <w:autoSpaceDN w:val="0"/>
              <w:adjustRightInd w:val="0"/>
              <w:spacing w:before="40" w:after="40" w:line="360" w:lineRule="exact"/>
              <w:rPr>
                <w:rFonts w:eastAsia="黑体"/>
                <w:b/>
                <w:kern w:val="0"/>
                <w:sz w:val="24"/>
                <w:szCs w:val="24"/>
              </w:rPr>
            </w:pPr>
            <w:r>
              <w:rPr>
                <w:rFonts w:hint="eastAsia" w:eastAsia="黑体"/>
                <w:b/>
                <w:kern w:val="0"/>
                <w:sz w:val="24"/>
                <w:szCs w:val="24"/>
              </w:rPr>
              <w:t>三、针对科学发现</w:t>
            </w:r>
            <w:r>
              <w:rPr>
                <w:rFonts w:eastAsia="黑体"/>
                <w:b/>
                <w:kern w:val="0"/>
                <w:sz w:val="24"/>
                <w:szCs w:val="24"/>
              </w:rPr>
              <w:t>-4</w:t>
            </w:r>
            <w:r>
              <w:rPr>
                <w:rFonts w:hint="eastAsia" w:eastAsia="黑体"/>
                <w:b/>
                <w:kern w:val="0"/>
                <w:sz w:val="24"/>
                <w:szCs w:val="24"/>
              </w:rPr>
              <w:t>的评述</w:t>
            </w:r>
          </w:p>
          <w:p>
            <w:pPr>
              <w:spacing w:line="360" w:lineRule="exact"/>
              <w:rPr>
                <w:kern w:val="0"/>
                <w:sz w:val="24"/>
                <w:szCs w:val="24"/>
              </w:rPr>
            </w:pPr>
            <w:r>
              <w:rPr>
                <w:rFonts w:hint="eastAsia"/>
                <w:kern w:val="0"/>
                <w:sz w:val="24"/>
                <w:szCs w:val="24"/>
              </w:rPr>
              <w:t>（</w:t>
            </w:r>
            <w:r>
              <w:rPr>
                <w:kern w:val="0"/>
                <w:sz w:val="24"/>
                <w:szCs w:val="24"/>
              </w:rPr>
              <w:t>1</w:t>
            </w:r>
            <w:r>
              <w:rPr>
                <w:rFonts w:hint="eastAsia"/>
                <w:kern w:val="0"/>
                <w:sz w:val="24"/>
                <w:szCs w:val="24"/>
              </w:rPr>
              <w:t>）我们所建立的</w:t>
            </w:r>
            <w:r>
              <w:rPr>
                <w:kern w:val="0"/>
                <w:sz w:val="24"/>
                <w:szCs w:val="24"/>
              </w:rPr>
              <w:t>RFA</w:t>
            </w:r>
            <w:r>
              <w:rPr>
                <w:rFonts w:hint="eastAsia"/>
                <w:kern w:val="0"/>
                <w:sz w:val="24"/>
                <w:szCs w:val="24"/>
              </w:rPr>
              <w:t>联合</w:t>
            </w:r>
            <w:r>
              <w:rPr>
                <w:kern w:val="0"/>
                <w:sz w:val="24"/>
                <w:szCs w:val="24"/>
                <w:vertAlign w:val="superscript"/>
              </w:rPr>
              <w:t>131</w:t>
            </w:r>
            <w:r>
              <w:rPr>
                <w:kern w:val="0"/>
                <w:sz w:val="24"/>
                <w:szCs w:val="24"/>
              </w:rPr>
              <w:t>I-</w:t>
            </w:r>
            <w:r>
              <w:rPr>
                <w:rFonts w:hint="eastAsia"/>
                <w:kern w:val="0"/>
                <w:sz w:val="24"/>
                <w:szCs w:val="24"/>
              </w:rPr>
              <w:t>美妥昔抗肝癌术后复发临床方案（</w:t>
            </w:r>
            <w:r>
              <w:rPr>
                <w:kern w:val="0"/>
                <w:sz w:val="24"/>
                <w:szCs w:val="24"/>
              </w:rPr>
              <w:t>JNCI 2014</w:t>
            </w:r>
            <w:r>
              <w:rPr>
                <w:rFonts w:hint="eastAsia"/>
                <w:kern w:val="0"/>
                <w:sz w:val="24"/>
                <w:szCs w:val="24"/>
              </w:rPr>
              <w:t>）得到了业内的认可，被写入《中国临床肿瘤学会（</w:t>
            </w:r>
            <w:r>
              <w:rPr>
                <w:kern w:val="0"/>
                <w:sz w:val="24"/>
                <w:szCs w:val="24"/>
              </w:rPr>
              <w:t>CSCO</w:t>
            </w:r>
            <w:r>
              <w:rPr>
                <w:rFonts w:hint="eastAsia"/>
                <w:kern w:val="0"/>
                <w:sz w:val="24"/>
                <w:szCs w:val="24"/>
              </w:rPr>
              <w:t>）原发性肝癌诊疗指南（</w:t>
            </w:r>
            <w:r>
              <w:rPr>
                <w:kern w:val="0"/>
                <w:sz w:val="24"/>
                <w:szCs w:val="24"/>
              </w:rPr>
              <w:t>2018</w:t>
            </w:r>
            <w:r>
              <w:rPr>
                <w:rFonts w:hint="eastAsia"/>
                <w:kern w:val="0"/>
                <w:sz w:val="24"/>
                <w:szCs w:val="24"/>
              </w:rPr>
              <w:t>版）》。同时，</w:t>
            </w:r>
            <w:r>
              <w:rPr>
                <w:kern w:val="0"/>
                <w:sz w:val="24"/>
                <w:szCs w:val="24"/>
              </w:rPr>
              <w:t>Olivier Séror</w:t>
            </w:r>
            <w:r>
              <w:rPr>
                <w:rFonts w:hint="eastAsia"/>
                <w:kern w:val="0"/>
                <w:sz w:val="24"/>
                <w:szCs w:val="24"/>
              </w:rPr>
              <w:t>教授发表在</w:t>
            </w:r>
            <w:r>
              <w:rPr>
                <w:kern w:val="0"/>
                <w:sz w:val="24"/>
                <w:szCs w:val="24"/>
              </w:rPr>
              <w:t>J Hepatol</w:t>
            </w:r>
            <w:r>
              <w:rPr>
                <w:rFonts w:hint="eastAsia"/>
                <w:kern w:val="0"/>
                <w:sz w:val="24"/>
                <w:szCs w:val="24"/>
              </w:rPr>
              <w:t>（</w:t>
            </w:r>
            <w:r>
              <w:rPr>
                <w:kern w:val="0"/>
                <w:sz w:val="24"/>
                <w:szCs w:val="24"/>
              </w:rPr>
              <w:t>2018;68(4):783-797</w:t>
            </w:r>
            <w:r>
              <w:rPr>
                <w:rFonts w:hint="eastAsia"/>
                <w:kern w:val="0"/>
                <w:sz w:val="24"/>
                <w:szCs w:val="24"/>
              </w:rPr>
              <w:t>，</w:t>
            </w:r>
            <w:r>
              <w:rPr>
                <w:sz w:val="24"/>
                <w:szCs w:val="24"/>
                <w:shd w:val="clear" w:color="auto" w:fill="FFFFFF"/>
              </w:rPr>
              <w:t>IF=14.911</w:t>
            </w:r>
            <w:r>
              <w:rPr>
                <w:rFonts w:hint="eastAsia"/>
                <w:kern w:val="0"/>
                <w:sz w:val="24"/>
                <w:szCs w:val="24"/>
              </w:rPr>
              <w:t>）的综述也肯定了我们的工作，</w:t>
            </w:r>
            <w:r>
              <w:rPr>
                <w:kern w:val="0"/>
                <w:sz w:val="24"/>
                <w:szCs w:val="24"/>
              </w:rPr>
              <w:t>RFA</w:t>
            </w:r>
            <w:r>
              <w:rPr>
                <w:rFonts w:hint="eastAsia"/>
                <w:kern w:val="0"/>
                <w:sz w:val="24"/>
                <w:szCs w:val="24"/>
              </w:rPr>
              <w:t>联合</w:t>
            </w:r>
            <w:r>
              <w:rPr>
                <w:kern w:val="0"/>
                <w:sz w:val="24"/>
                <w:szCs w:val="24"/>
              </w:rPr>
              <w:t>[</w:t>
            </w:r>
            <w:r>
              <w:rPr>
                <w:kern w:val="0"/>
                <w:sz w:val="24"/>
                <w:szCs w:val="24"/>
                <w:vertAlign w:val="superscript"/>
              </w:rPr>
              <w:t>131</w:t>
            </w:r>
            <w:r>
              <w:rPr>
                <w:kern w:val="0"/>
                <w:sz w:val="24"/>
                <w:szCs w:val="24"/>
              </w:rPr>
              <w:t>I]-美妥昔</w:t>
            </w:r>
            <w:r>
              <w:rPr>
                <w:rFonts w:hint="eastAsia"/>
                <w:kern w:val="0"/>
                <w:sz w:val="24"/>
                <w:szCs w:val="24"/>
              </w:rPr>
              <w:t>比起单独</w:t>
            </w:r>
            <w:r>
              <w:rPr>
                <w:kern w:val="0"/>
                <w:sz w:val="24"/>
                <w:szCs w:val="24"/>
              </w:rPr>
              <w:t>RFA</w:t>
            </w:r>
            <w:r>
              <w:rPr>
                <w:rFonts w:hint="eastAsia"/>
                <w:kern w:val="0"/>
                <w:sz w:val="24"/>
                <w:szCs w:val="24"/>
              </w:rPr>
              <w:t>，能减缓肝癌复发时间。</w:t>
            </w:r>
          </w:p>
          <w:p>
            <w:pPr>
              <w:pStyle w:val="3"/>
              <w:spacing w:line="360" w:lineRule="exact"/>
              <w:ind w:firstLine="0" w:firstLineChars="0"/>
              <w:outlineLvl w:val="1"/>
              <w:rPr>
                <w:rFonts w:ascii="Times New Roman"/>
                <w:color w:val="000000" w:themeColor="text1"/>
                <w:kern w:val="0"/>
                <w:szCs w:val="24"/>
              </w:rPr>
            </w:pPr>
            <w:r>
              <w:rPr>
                <w:rFonts w:hint="eastAsia" w:ascii="Times New Roman"/>
                <w:color w:val="000000" w:themeColor="text1"/>
                <w:kern w:val="0"/>
                <w:szCs w:val="24"/>
              </w:rPr>
              <w:t>（</w:t>
            </w:r>
            <w:r>
              <w:rPr>
                <w:rFonts w:ascii="Times New Roman"/>
                <w:color w:val="000000" w:themeColor="text1"/>
                <w:kern w:val="0"/>
                <w:szCs w:val="24"/>
              </w:rPr>
              <w:t>2</w:t>
            </w:r>
            <w:r>
              <w:rPr>
                <w:rFonts w:hint="eastAsia" w:ascii="Times New Roman"/>
                <w:color w:val="000000" w:themeColor="text1"/>
                <w:kern w:val="0"/>
                <w:szCs w:val="24"/>
              </w:rPr>
              <w:t>）美国</w:t>
            </w:r>
            <w:r>
              <w:rPr>
                <w:rFonts w:ascii="Times New Roman"/>
                <w:color w:val="000000" w:themeColor="text1"/>
                <w:kern w:val="0"/>
                <w:szCs w:val="24"/>
              </w:rPr>
              <w:t>Jerome Ritz</w:t>
            </w:r>
            <w:r>
              <w:rPr>
                <w:rFonts w:hint="eastAsia" w:ascii="Times New Roman"/>
                <w:color w:val="000000" w:themeColor="text1"/>
                <w:kern w:val="0"/>
                <w:szCs w:val="24"/>
              </w:rPr>
              <w:t>教授发表在</w:t>
            </w:r>
            <w:r>
              <w:rPr>
                <w:rFonts w:ascii="Times New Roman"/>
                <w:color w:val="000000" w:themeColor="text1"/>
                <w:kern w:val="0"/>
                <w:szCs w:val="24"/>
              </w:rPr>
              <w:t>Blood</w:t>
            </w:r>
            <w:r>
              <w:rPr>
                <w:rFonts w:hint="eastAsia" w:ascii="Times New Roman"/>
                <w:color w:val="000000" w:themeColor="text1"/>
                <w:kern w:val="0"/>
                <w:szCs w:val="24"/>
              </w:rPr>
              <w:t>（</w:t>
            </w:r>
            <w:r>
              <w:rPr>
                <w:rFonts w:ascii="Times New Roman"/>
                <w:color w:val="000000" w:themeColor="text1"/>
                <w:kern w:val="0"/>
                <w:szCs w:val="24"/>
              </w:rPr>
              <w:t>2017;130(26):2889-2899</w:t>
            </w:r>
            <w:r>
              <w:rPr>
                <w:rFonts w:hint="eastAsia" w:ascii="Times New Roman"/>
                <w:color w:val="000000" w:themeColor="text1"/>
                <w:kern w:val="0"/>
                <w:szCs w:val="24"/>
              </w:rPr>
              <w:t>，</w:t>
            </w:r>
            <w:r>
              <w:rPr>
                <w:rFonts w:ascii="Times New Roman"/>
                <w:color w:val="000000" w:themeColor="text1"/>
                <w:kern w:val="0"/>
                <w:szCs w:val="24"/>
              </w:rPr>
              <w:t>IF=11.841</w:t>
            </w:r>
            <w:r>
              <w:rPr>
                <w:rFonts w:hint="eastAsia" w:ascii="Times New Roman"/>
                <w:color w:val="000000" w:themeColor="text1"/>
                <w:kern w:val="0"/>
                <w:szCs w:val="24"/>
              </w:rPr>
              <w:t>）的文章引用了我们的研究（Clin Exp Metastas 2015），封闭</w:t>
            </w:r>
            <w:r>
              <w:rPr>
                <w:rFonts w:ascii="Times New Roman"/>
                <w:color w:val="000000" w:themeColor="text1"/>
                <w:kern w:val="0"/>
                <w:szCs w:val="24"/>
              </w:rPr>
              <w:t>CD147</w:t>
            </w:r>
            <w:r>
              <w:rPr>
                <w:rFonts w:hint="eastAsia" w:ascii="Times New Roman"/>
                <w:color w:val="000000" w:themeColor="text1"/>
                <w:kern w:val="0"/>
                <w:szCs w:val="24"/>
              </w:rPr>
              <w:t>能减弱肿瘤转移和延长生存。</w:t>
            </w:r>
          </w:p>
          <w:p>
            <w:pPr>
              <w:pStyle w:val="3"/>
              <w:spacing w:line="360" w:lineRule="exact"/>
              <w:ind w:firstLine="0" w:firstLineChars="0"/>
              <w:outlineLvl w:val="1"/>
              <w:rPr>
                <w:rFonts w:ascii="Times New Roman"/>
                <w:b/>
                <w:szCs w:val="24"/>
              </w:rPr>
            </w:pPr>
            <w:r>
              <w:rPr>
                <w:rFonts w:hint="eastAsia" w:ascii="Times New Roman"/>
                <w:color w:val="000000" w:themeColor="text1"/>
                <w:kern w:val="0"/>
                <w:szCs w:val="24"/>
              </w:rPr>
              <w:t>（</w:t>
            </w:r>
            <w:r>
              <w:rPr>
                <w:rFonts w:ascii="Times New Roman"/>
                <w:color w:val="000000" w:themeColor="text1"/>
                <w:kern w:val="0"/>
                <w:szCs w:val="24"/>
              </w:rPr>
              <w:t>3</w:t>
            </w:r>
            <w:r>
              <w:rPr>
                <w:rFonts w:hint="eastAsia" w:ascii="Times New Roman"/>
                <w:color w:val="000000" w:themeColor="text1"/>
                <w:kern w:val="0"/>
                <w:szCs w:val="24"/>
              </w:rPr>
              <w:t>）梅奥诊所医学院</w:t>
            </w:r>
            <w:r>
              <w:rPr>
                <w:rFonts w:ascii="Times New Roman" w:eastAsiaTheme="minorEastAsia"/>
                <w:kern w:val="0"/>
                <w:szCs w:val="24"/>
              </w:rPr>
              <w:t>Qi Qian</w:t>
            </w:r>
            <w:r>
              <w:rPr>
                <w:rFonts w:hint="eastAsia" w:ascii="Times New Roman"/>
                <w:color w:val="000000" w:themeColor="text1"/>
                <w:kern w:val="0"/>
                <w:szCs w:val="24"/>
              </w:rPr>
              <w:t>教授发表在</w:t>
            </w:r>
            <w:r>
              <w:rPr>
                <w:rFonts w:ascii="Times New Roman"/>
                <w:color w:val="000000" w:themeColor="text1"/>
                <w:kern w:val="0"/>
                <w:szCs w:val="24"/>
              </w:rPr>
              <w:t>Physiology</w:t>
            </w:r>
            <w:r>
              <w:rPr>
                <w:rFonts w:hint="eastAsia" w:ascii="Times New Roman"/>
                <w:color w:val="000000" w:themeColor="text1"/>
                <w:kern w:val="0"/>
                <w:szCs w:val="24"/>
              </w:rPr>
              <w:t>（</w:t>
            </w:r>
            <w:r>
              <w:rPr>
                <w:rFonts w:ascii="Times New Roman"/>
                <w:color w:val="000000" w:themeColor="text1"/>
                <w:kern w:val="0"/>
                <w:szCs w:val="24"/>
              </w:rPr>
              <w:t>2017 Nov;32(6):453-463</w:t>
            </w:r>
            <w:r>
              <w:rPr>
                <w:rFonts w:hint="eastAsia" w:ascii="Times New Roman"/>
                <w:color w:val="000000" w:themeColor="text1"/>
                <w:kern w:val="0"/>
                <w:szCs w:val="24"/>
              </w:rPr>
              <w:t>，</w:t>
            </w:r>
            <w:r>
              <w:rPr>
                <w:rFonts w:ascii="Times New Roman"/>
                <w:color w:val="000000" w:themeColor="text1"/>
                <w:kern w:val="0"/>
                <w:szCs w:val="24"/>
              </w:rPr>
              <w:t>IF=6.541</w:t>
            </w:r>
            <w:r>
              <w:rPr>
                <w:rFonts w:hint="eastAsia" w:ascii="Times New Roman"/>
                <w:color w:val="000000" w:themeColor="text1"/>
                <w:kern w:val="0"/>
                <w:szCs w:val="24"/>
              </w:rPr>
              <w:t>）的综述，引用了我们的工作</w:t>
            </w:r>
            <w:r>
              <w:rPr>
                <w:rFonts w:hint="eastAsia" w:ascii="Times New Roman"/>
                <w:kern w:val="0"/>
                <w:szCs w:val="24"/>
              </w:rPr>
              <w:t>（</w:t>
            </w:r>
            <w:r>
              <w:rPr>
                <w:rFonts w:ascii="Times New Roman"/>
                <w:kern w:val="0"/>
                <w:szCs w:val="24"/>
              </w:rPr>
              <w:t>JNCI 2014</w:t>
            </w:r>
            <w:r>
              <w:rPr>
                <w:rFonts w:hint="eastAsia" w:ascii="Times New Roman"/>
                <w:kern w:val="0"/>
                <w:szCs w:val="24"/>
              </w:rPr>
              <w:t>）</w:t>
            </w:r>
            <w:r>
              <w:rPr>
                <w:rFonts w:hint="eastAsia" w:ascii="Times New Roman"/>
                <w:color w:val="000000" w:themeColor="text1"/>
                <w:kern w:val="0"/>
                <w:szCs w:val="24"/>
              </w:rPr>
              <w:t>，指出通过临床试验证实，抑制</w:t>
            </w:r>
            <w:r>
              <w:rPr>
                <w:rFonts w:ascii="Times New Roman"/>
                <w:color w:val="000000" w:themeColor="text1"/>
                <w:kern w:val="0"/>
                <w:szCs w:val="24"/>
              </w:rPr>
              <w:t>CD147</w:t>
            </w:r>
            <w:r>
              <w:rPr>
                <w:rFonts w:hint="eastAsia" w:ascii="Times New Roman"/>
                <w:color w:val="000000" w:themeColor="text1"/>
                <w:kern w:val="0"/>
                <w:szCs w:val="24"/>
              </w:rPr>
              <w:t>的表达，能阻止肿瘤生长。</w:t>
            </w:r>
          </w:p>
        </w:tc>
      </w:tr>
    </w:tbl>
    <w:p>
      <w:pPr>
        <w:jc w:val="center"/>
        <w:outlineLvl w:val="1"/>
        <w:rPr>
          <w:b/>
          <w:sz w:val="28"/>
          <w:szCs w:val="28"/>
        </w:rPr>
      </w:pPr>
      <w:r>
        <w:rPr>
          <w:bCs/>
        </w:rPr>
        <w:br w:type="page"/>
      </w:r>
      <w:r>
        <w:rPr>
          <w:b/>
          <w:bCs/>
          <w:sz w:val="28"/>
          <w:szCs w:val="28"/>
        </w:rPr>
        <w:t>六</w:t>
      </w:r>
      <w:r>
        <w:rPr>
          <w:b/>
          <w:sz w:val="28"/>
          <w:szCs w:val="28"/>
        </w:rPr>
        <w:t>、代表性论文专著目录（不超过8篇）</w:t>
      </w:r>
    </w:p>
    <w:tbl>
      <w:tblPr>
        <w:tblStyle w:val="11"/>
        <w:tblpPr w:leftFromText="180" w:rightFromText="180" w:vertAnchor="text" w:horzAnchor="margin" w:tblpXSpec="center" w:tblpY="270"/>
        <w:tblW w:w="8494" w:type="dxa"/>
        <w:tblInd w:w="0" w:type="dxa"/>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00"/>
        <w:gridCol w:w="1370"/>
        <w:gridCol w:w="557"/>
        <w:gridCol w:w="1246"/>
        <w:gridCol w:w="695"/>
        <w:gridCol w:w="660"/>
        <w:gridCol w:w="567"/>
        <w:gridCol w:w="709"/>
        <w:gridCol w:w="797"/>
        <w:gridCol w:w="557"/>
        <w:gridCol w:w="557"/>
        <w:gridCol w:w="379"/>
      </w:tblGrid>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40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序号</w:t>
            </w:r>
          </w:p>
        </w:tc>
        <w:tc>
          <w:tcPr>
            <w:tcW w:w="137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论文专著</w:t>
            </w:r>
          </w:p>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 xml:space="preserve">名称 </w:t>
            </w:r>
          </w:p>
        </w:tc>
        <w:tc>
          <w:tcPr>
            <w:tcW w:w="557"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sz w:val="21"/>
                <w:szCs w:val="21"/>
              </w:rPr>
              <w:t>刊名</w:t>
            </w:r>
          </w:p>
        </w:tc>
        <w:tc>
          <w:tcPr>
            <w:tcW w:w="1246"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作者</w:t>
            </w:r>
          </w:p>
        </w:tc>
        <w:tc>
          <w:tcPr>
            <w:tcW w:w="695"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年卷页码（xx年xx卷xx页）</w:t>
            </w:r>
          </w:p>
        </w:tc>
        <w:tc>
          <w:tcPr>
            <w:tcW w:w="66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发表时间</w:t>
            </w:r>
          </w:p>
        </w:tc>
        <w:tc>
          <w:tcPr>
            <w:tcW w:w="56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通讯作者</w:t>
            </w:r>
          </w:p>
        </w:tc>
        <w:tc>
          <w:tcPr>
            <w:tcW w:w="70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第一作者</w:t>
            </w:r>
          </w:p>
        </w:tc>
        <w:tc>
          <w:tcPr>
            <w:tcW w:w="79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国内作者</w:t>
            </w:r>
          </w:p>
        </w:tc>
        <w:tc>
          <w:tcPr>
            <w:tcW w:w="557" w:type="dxa"/>
            <w:vAlign w:val="center"/>
          </w:tcPr>
          <w:p>
            <w:pPr>
              <w:pStyle w:val="3"/>
              <w:adjustRightInd w:val="0"/>
              <w:spacing w:after="50" w:line="240" w:lineRule="auto"/>
              <w:ind w:firstLine="0" w:firstLineChars="0"/>
              <w:jc w:val="center"/>
              <w:outlineLvl w:val="1"/>
              <w:rPr>
                <w:rFonts w:ascii="Times New Roman"/>
                <w:color w:val="000000" w:themeColor="text1"/>
                <w:sz w:val="21"/>
                <w:szCs w:val="21"/>
              </w:rPr>
            </w:pPr>
            <w:r>
              <w:rPr>
                <w:rFonts w:ascii="Times New Roman"/>
                <w:color w:val="000000" w:themeColor="text1"/>
                <w:sz w:val="21"/>
                <w:szCs w:val="21"/>
              </w:rPr>
              <w:t>SCI他引次数</w:t>
            </w:r>
          </w:p>
        </w:tc>
        <w:tc>
          <w:tcPr>
            <w:tcW w:w="557" w:type="dxa"/>
            <w:vAlign w:val="center"/>
          </w:tcPr>
          <w:p>
            <w:pPr>
              <w:pStyle w:val="3"/>
              <w:adjustRightInd w:val="0"/>
              <w:spacing w:after="50" w:line="240" w:lineRule="auto"/>
              <w:ind w:firstLine="0" w:firstLineChars="0"/>
              <w:jc w:val="center"/>
              <w:outlineLvl w:val="1"/>
              <w:rPr>
                <w:rFonts w:ascii="Times New Roman"/>
                <w:color w:val="000000" w:themeColor="text1"/>
                <w:sz w:val="21"/>
                <w:szCs w:val="21"/>
              </w:rPr>
            </w:pPr>
            <w:r>
              <w:rPr>
                <w:rFonts w:ascii="Times New Roman"/>
                <w:color w:val="000000" w:themeColor="text1"/>
                <w:sz w:val="21"/>
                <w:szCs w:val="21"/>
              </w:rPr>
              <w:t>他引总次数</w:t>
            </w:r>
          </w:p>
        </w:tc>
        <w:tc>
          <w:tcPr>
            <w:tcW w:w="37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知识产权是否归国内所有</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40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1</w:t>
            </w:r>
          </w:p>
        </w:tc>
        <w:tc>
          <w:tcPr>
            <w:tcW w:w="1370" w:type="dxa"/>
            <w:vAlign w:val="center"/>
          </w:tcPr>
          <w:p>
            <w:pPr>
              <w:rPr>
                <w:color w:val="000000"/>
                <w:szCs w:val="21"/>
              </w:rPr>
            </w:pPr>
            <w:r>
              <w:rPr>
                <w:color w:val="000000"/>
                <w:szCs w:val="21"/>
              </w:rPr>
              <w:t>Randomized trial of [131I] metuximab in treatment of hepatocellular carcinoma after percutaneous radiofrequency ablation.</w:t>
            </w:r>
          </w:p>
        </w:tc>
        <w:tc>
          <w:tcPr>
            <w:tcW w:w="557"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JNCI</w:t>
            </w:r>
          </w:p>
        </w:tc>
        <w:tc>
          <w:tcPr>
            <w:tcW w:w="1246" w:type="dxa"/>
            <w:vAlign w:val="center"/>
          </w:tcPr>
          <w:p>
            <w:pPr>
              <w:rPr>
                <w:color w:val="000000"/>
                <w:szCs w:val="21"/>
              </w:rPr>
            </w:pPr>
            <w:r>
              <w:rPr>
                <w:color w:val="000000" w:themeColor="text1"/>
                <w:szCs w:val="21"/>
              </w:rPr>
              <w:t>边惠洁，郑加生，南刚，李睿，陈长生，扈彩霞，张阳，孙斌，王喜龙，崔世昌，吴佼，徐静，尉丁，张晓勇，刘海春，杨武威，丁勇，李静，陈志南</w:t>
            </w:r>
            <w:r>
              <w:rPr>
                <w:color w:val="000000"/>
                <w:szCs w:val="21"/>
              </w:rPr>
              <w:t xml:space="preserve"> </w:t>
            </w:r>
          </w:p>
          <w:p>
            <w:pPr>
              <w:rPr>
                <w:color w:val="000000"/>
                <w:szCs w:val="21"/>
              </w:rPr>
            </w:pPr>
          </w:p>
        </w:tc>
        <w:tc>
          <w:tcPr>
            <w:tcW w:w="695"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 xml:space="preserve">2014;106(9). </w:t>
            </w:r>
          </w:p>
          <w:p>
            <w:pPr>
              <w:pStyle w:val="3"/>
              <w:adjustRightInd w:val="0"/>
              <w:spacing w:after="50" w:line="240" w:lineRule="auto"/>
              <w:ind w:firstLine="0" w:firstLineChars="0"/>
              <w:outlineLvl w:val="1"/>
              <w:rPr>
                <w:rFonts w:ascii="Times New Roman"/>
                <w:color w:val="FF0000"/>
                <w:sz w:val="21"/>
                <w:szCs w:val="21"/>
              </w:rPr>
            </w:pPr>
            <w:r>
              <w:rPr>
                <w:rFonts w:ascii="Times New Roman"/>
                <w:color w:val="000000"/>
                <w:sz w:val="21"/>
                <w:szCs w:val="21"/>
              </w:rPr>
              <w:t>pii: dju239</w:t>
            </w:r>
          </w:p>
        </w:tc>
        <w:tc>
          <w:tcPr>
            <w:tcW w:w="660"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2014 Sep 10</w:t>
            </w:r>
          </w:p>
        </w:tc>
        <w:tc>
          <w:tcPr>
            <w:tcW w:w="567" w:type="dxa"/>
            <w:vAlign w:val="center"/>
          </w:tcPr>
          <w:p>
            <w:pPr>
              <w:pStyle w:val="3"/>
              <w:adjustRightInd w:val="0"/>
              <w:spacing w:after="50" w:line="240" w:lineRule="auto"/>
              <w:ind w:firstLine="0" w:firstLineChars="0"/>
              <w:outlineLvl w:val="1"/>
              <w:rPr>
                <w:rFonts w:ascii="Times New Roman"/>
                <w:color w:val="FF0000"/>
                <w:sz w:val="21"/>
                <w:szCs w:val="21"/>
              </w:rPr>
            </w:pPr>
            <w:r>
              <w:rPr>
                <w:rFonts w:hint="eastAsia" w:ascii="Times New Roman"/>
                <w:sz w:val="21"/>
                <w:szCs w:val="21"/>
              </w:rPr>
              <w:t>陈志南</w:t>
            </w:r>
            <w:r>
              <w:rPr>
                <w:rFonts w:ascii="Times New Roman"/>
                <w:sz w:val="21"/>
                <w:szCs w:val="21"/>
              </w:rPr>
              <w:t>（通讯）,</w:t>
            </w:r>
            <w:r>
              <w:rPr>
                <w:rFonts w:ascii="Times New Roman"/>
                <w:color w:val="000000"/>
                <w:sz w:val="21"/>
                <w:szCs w:val="21"/>
              </w:rPr>
              <w:t xml:space="preserve"> </w:t>
            </w:r>
            <w:r>
              <w:rPr>
                <w:rFonts w:hint="eastAsia" w:ascii="Times New Roman"/>
                <w:color w:val="000000"/>
                <w:sz w:val="21"/>
                <w:szCs w:val="21"/>
              </w:rPr>
              <w:t>郑加生</w:t>
            </w:r>
            <w:r>
              <w:rPr>
                <w:rFonts w:ascii="Times New Roman"/>
                <w:color w:val="000000"/>
                <w:sz w:val="21"/>
                <w:szCs w:val="21"/>
              </w:rPr>
              <w:t>（共同通讯）</w:t>
            </w:r>
          </w:p>
        </w:tc>
        <w:tc>
          <w:tcPr>
            <w:tcW w:w="709" w:type="dxa"/>
            <w:vAlign w:val="center"/>
          </w:tcPr>
          <w:p>
            <w:pPr>
              <w:pStyle w:val="3"/>
              <w:adjustRightInd w:val="0"/>
              <w:spacing w:after="50" w:line="240" w:lineRule="auto"/>
              <w:ind w:firstLine="0" w:firstLineChars="0"/>
              <w:outlineLvl w:val="1"/>
              <w:rPr>
                <w:rFonts w:ascii="Times New Roman"/>
                <w:color w:val="000000"/>
                <w:sz w:val="21"/>
                <w:szCs w:val="21"/>
              </w:rPr>
            </w:pPr>
            <w:r>
              <w:rPr>
                <w:rFonts w:hint="eastAsia" w:ascii="Times New Roman"/>
                <w:color w:val="000000"/>
                <w:sz w:val="21"/>
                <w:szCs w:val="21"/>
              </w:rPr>
              <w:t>边惠洁</w:t>
            </w:r>
            <w:r>
              <w:rPr>
                <w:rFonts w:ascii="Times New Roman"/>
                <w:color w:val="000000"/>
                <w:sz w:val="21"/>
                <w:szCs w:val="21"/>
              </w:rPr>
              <w:t xml:space="preserve">（第一作者）, </w:t>
            </w:r>
            <w:r>
              <w:rPr>
                <w:rFonts w:hint="eastAsia" w:ascii="Times New Roman"/>
                <w:color w:val="000000"/>
                <w:sz w:val="21"/>
                <w:szCs w:val="21"/>
              </w:rPr>
              <w:t>郑加生</w:t>
            </w:r>
            <w:r>
              <w:rPr>
                <w:rFonts w:ascii="Times New Roman"/>
                <w:color w:val="000000"/>
                <w:sz w:val="21"/>
                <w:szCs w:val="21"/>
              </w:rPr>
              <w:t xml:space="preserve">（共同一作）, </w:t>
            </w:r>
            <w:r>
              <w:rPr>
                <w:rFonts w:hint="eastAsia" w:ascii="Times New Roman"/>
                <w:color w:val="000000"/>
                <w:sz w:val="21"/>
                <w:szCs w:val="21"/>
              </w:rPr>
              <w:t>南刚</w:t>
            </w:r>
            <w:r>
              <w:rPr>
                <w:rFonts w:ascii="Times New Roman"/>
                <w:color w:val="000000"/>
                <w:sz w:val="21"/>
                <w:szCs w:val="21"/>
              </w:rPr>
              <w:t>（共同一作）</w:t>
            </w:r>
          </w:p>
        </w:tc>
        <w:tc>
          <w:tcPr>
            <w:tcW w:w="797" w:type="dxa"/>
            <w:vAlign w:val="center"/>
          </w:tcPr>
          <w:p>
            <w:pPr>
              <w:pStyle w:val="3"/>
              <w:adjustRightInd w:val="0"/>
              <w:spacing w:after="50" w:line="240" w:lineRule="auto"/>
              <w:ind w:firstLine="0" w:firstLineChars="0"/>
              <w:outlineLvl w:val="1"/>
              <w:rPr>
                <w:rFonts w:ascii="Times New Roman"/>
                <w:color w:val="000000" w:themeColor="text1"/>
                <w:sz w:val="21"/>
                <w:szCs w:val="21"/>
              </w:rPr>
            </w:pPr>
            <w:r>
              <w:rPr>
                <w:rFonts w:ascii="Times New Roman"/>
                <w:color w:val="000000" w:themeColor="text1"/>
                <w:sz w:val="21"/>
                <w:szCs w:val="21"/>
              </w:rPr>
              <w:t>边惠洁，郑加生，南刚，李睿，陈长生，扈彩霞，张阳，孙斌，王喜龙，崔世昌，吴佼，徐静，尉丁，张晓勇，刘海春，杨武威，丁勇，李静，陈志南</w:t>
            </w:r>
          </w:p>
        </w:tc>
        <w:tc>
          <w:tcPr>
            <w:tcW w:w="557"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11</w:t>
            </w:r>
          </w:p>
        </w:tc>
        <w:tc>
          <w:tcPr>
            <w:tcW w:w="557"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sz w:val="21"/>
                <w:szCs w:val="21"/>
              </w:rPr>
              <w:t>18</w:t>
            </w:r>
          </w:p>
        </w:tc>
        <w:tc>
          <w:tcPr>
            <w:tcW w:w="37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40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w:t>
            </w:r>
          </w:p>
        </w:tc>
        <w:tc>
          <w:tcPr>
            <w:tcW w:w="1370" w:type="dxa"/>
            <w:vAlign w:val="center"/>
          </w:tcPr>
          <w:p>
            <w:pPr>
              <w:rPr>
                <w:color w:val="000000"/>
                <w:szCs w:val="21"/>
              </w:rPr>
            </w:pPr>
            <w:r>
              <w:rPr>
                <w:color w:val="000000"/>
                <w:szCs w:val="21"/>
              </w:rPr>
              <w:t xml:space="preserve">CD147 promotes reprogramming of glucose metabolism and cell proliferation in HCC cells by inhibiting the p53-dependent signaling pathway. </w:t>
            </w:r>
          </w:p>
        </w:tc>
        <w:tc>
          <w:tcPr>
            <w:tcW w:w="557"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color w:val="000000"/>
                <w:sz w:val="21"/>
                <w:szCs w:val="21"/>
              </w:rPr>
              <w:t>J Hepatol</w:t>
            </w:r>
          </w:p>
        </w:tc>
        <w:tc>
          <w:tcPr>
            <w:tcW w:w="1246" w:type="dxa"/>
            <w:vAlign w:val="center"/>
          </w:tcPr>
          <w:p>
            <w:pPr>
              <w:rPr>
                <w:szCs w:val="21"/>
              </w:rPr>
            </w:pPr>
            <w:r>
              <w:rPr>
                <w:color w:val="000000" w:themeColor="text1"/>
                <w:szCs w:val="21"/>
              </w:rPr>
              <w:t>黄启超，李积彬，邢金良，李</w:t>
            </w:r>
            <w:r>
              <w:rPr>
                <w:color w:val="000000"/>
                <w:szCs w:val="21"/>
              </w:rPr>
              <w:t xml:space="preserve"> </w:t>
            </w:r>
            <w:r>
              <w:rPr>
                <w:color w:val="000000" w:themeColor="text1"/>
                <w:szCs w:val="21"/>
              </w:rPr>
              <w:t>薇薇，李宏伟，柯霞，张璟，任婷婷，尚玉奎，杨虎山，</w:t>
            </w:r>
            <w:r>
              <w:rPr>
                <w:rFonts w:hint="eastAsia"/>
                <w:color w:val="000000" w:themeColor="text1"/>
                <w:szCs w:val="21"/>
              </w:rPr>
              <w:t>蒋建利，</w:t>
            </w:r>
            <w:r>
              <w:rPr>
                <w:color w:val="000000" w:themeColor="text1"/>
                <w:szCs w:val="21"/>
              </w:rPr>
              <w:t>陈志南</w:t>
            </w:r>
          </w:p>
        </w:tc>
        <w:tc>
          <w:tcPr>
            <w:tcW w:w="695"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2014;61(4):</w:t>
            </w:r>
          </w:p>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859-866</w:t>
            </w:r>
          </w:p>
        </w:tc>
        <w:tc>
          <w:tcPr>
            <w:tcW w:w="660" w:type="dxa"/>
            <w:vAlign w:val="center"/>
          </w:tcPr>
          <w:p>
            <w:pPr>
              <w:rPr>
                <w:color w:val="000000"/>
                <w:szCs w:val="21"/>
              </w:rPr>
            </w:pPr>
            <w:r>
              <w:rPr>
                <w:color w:val="000000"/>
                <w:szCs w:val="21"/>
              </w:rPr>
              <w:t>2015 Dec</w:t>
            </w:r>
          </w:p>
        </w:tc>
        <w:tc>
          <w:tcPr>
            <w:tcW w:w="567" w:type="dxa"/>
            <w:vAlign w:val="center"/>
          </w:tcPr>
          <w:p>
            <w:pPr>
              <w:pStyle w:val="3"/>
              <w:adjustRightInd w:val="0"/>
              <w:spacing w:after="50" w:line="240" w:lineRule="auto"/>
              <w:ind w:firstLine="0" w:firstLineChars="0"/>
              <w:outlineLvl w:val="1"/>
              <w:rPr>
                <w:rFonts w:ascii="Times New Roman"/>
                <w:color w:val="000000"/>
                <w:sz w:val="21"/>
                <w:szCs w:val="21"/>
              </w:rPr>
            </w:pPr>
            <w:r>
              <w:rPr>
                <w:rFonts w:hint="eastAsia" w:ascii="Times New Roman"/>
                <w:color w:val="000000"/>
                <w:sz w:val="21"/>
                <w:szCs w:val="21"/>
              </w:rPr>
              <w:t>陈志南</w:t>
            </w:r>
            <w:r>
              <w:rPr>
                <w:rFonts w:ascii="Times New Roman"/>
                <w:color w:val="000000"/>
                <w:sz w:val="21"/>
                <w:szCs w:val="21"/>
              </w:rPr>
              <w:t>（通讯）,</w:t>
            </w:r>
            <w:r>
              <w:t xml:space="preserve"> </w:t>
            </w:r>
            <w:r>
              <w:rPr>
                <w:rFonts w:hint="eastAsia" w:ascii="Times New Roman"/>
                <w:color w:val="000000" w:themeColor="text1"/>
                <w:sz w:val="21"/>
                <w:szCs w:val="21"/>
              </w:rPr>
              <w:t>蒋建利</w:t>
            </w:r>
            <w:r>
              <w:rPr>
                <w:rFonts w:ascii="Times New Roman"/>
                <w:color w:val="000000"/>
                <w:sz w:val="21"/>
                <w:szCs w:val="21"/>
              </w:rPr>
              <w:t xml:space="preserve">（共同通讯）,  </w:t>
            </w:r>
            <w:r>
              <w:rPr>
                <w:rFonts w:ascii="Times New Roman"/>
                <w:color w:val="000000" w:themeColor="text1"/>
                <w:sz w:val="21"/>
                <w:szCs w:val="21"/>
              </w:rPr>
              <w:t>邢金良</w:t>
            </w:r>
            <w:r>
              <w:rPr>
                <w:rFonts w:ascii="Times New Roman"/>
                <w:color w:val="000000"/>
                <w:sz w:val="21"/>
                <w:szCs w:val="21"/>
              </w:rPr>
              <w:t>（共同通讯）</w:t>
            </w:r>
          </w:p>
        </w:tc>
        <w:tc>
          <w:tcPr>
            <w:tcW w:w="709"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themeColor="text1"/>
                <w:sz w:val="21"/>
                <w:szCs w:val="21"/>
              </w:rPr>
              <w:t>黄启超</w:t>
            </w:r>
            <w:r>
              <w:rPr>
                <w:rFonts w:ascii="Times New Roman"/>
                <w:color w:val="000000"/>
                <w:sz w:val="21"/>
                <w:szCs w:val="21"/>
              </w:rPr>
              <w:t xml:space="preserve">（第一作者）, </w:t>
            </w:r>
            <w:r>
              <w:rPr>
                <w:rFonts w:ascii="Times New Roman"/>
                <w:color w:val="000000" w:themeColor="text1"/>
                <w:sz w:val="21"/>
                <w:szCs w:val="21"/>
              </w:rPr>
              <w:t>李积彬</w:t>
            </w:r>
            <w:r>
              <w:rPr>
                <w:rFonts w:ascii="Times New Roman"/>
                <w:color w:val="000000"/>
                <w:sz w:val="21"/>
                <w:szCs w:val="21"/>
              </w:rPr>
              <w:t>（共同一作）</w:t>
            </w:r>
          </w:p>
        </w:tc>
        <w:tc>
          <w:tcPr>
            <w:tcW w:w="797" w:type="dxa"/>
          </w:tcPr>
          <w:p>
            <w:pPr>
              <w:pStyle w:val="3"/>
              <w:adjustRightInd w:val="0"/>
              <w:spacing w:after="50" w:line="240" w:lineRule="auto"/>
              <w:ind w:firstLine="0" w:firstLineChars="0"/>
              <w:jc w:val="center"/>
              <w:outlineLvl w:val="1"/>
              <w:rPr>
                <w:rFonts w:ascii="Times New Roman"/>
                <w:color w:val="000000" w:themeColor="text1"/>
                <w:sz w:val="21"/>
                <w:szCs w:val="21"/>
              </w:rPr>
            </w:pPr>
            <w:r>
              <w:rPr>
                <w:rFonts w:ascii="Times New Roman"/>
                <w:color w:val="000000" w:themeColor="text1"/>
                <w:sz w:val="21"/>
                <w:szCs w:val="21"/>
              </w:rPr>
              <w:t>黄启超，李积彬，邢金良，李薇薇，李宏伟，柯霞，张璟，任婷婷，尚玉奎，杨虎山，</w:t>
            </w:r>
            <w:r>
              <w:rPr>
                <w:rFonts w:hint="eastAsia" w:ascii="Times New Roman"/>
                <w:color w:val="000000" w:themeColor="text1"/>
                <w:sz w:val="21"/>
                <w:szCs w:val="21"/>
              </w:rPr>
              <w:t>蒋建利，</w:t>
            </w:r>
            <w:r>
              <w:rPr>
                <w:rFonts w:ascii="Times New Roman"/>
                <w:color w:val="000000" w:themeColor="text1"/>
                <w:sz w:val="21"/>
                <w:szCs w:val="21"/>
              </w:rPr>
              <w:t>陈志南</w:t>
            </w:r>
          </w:p>
        </w:tc>
        <w:tc>
          <w:tcPr>
            <w:tcW w:w="557"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sz w:val="21"/>
                <w:szCs w:val="21"/>
              </w:rPr>
              <w:t>34</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50</w:t>
            </w:r>
          </w:p>
        </w:tc>
        <w:tc>
          <w:tcPr>
            <w:tcW w:w="37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40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3</w:t>
            </w:r>
          </w:p>
        </w:tc>
        <w:tc>
          <w:tcPr>
            <w:tcW w:w="1370"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CD147 reprograms fatty acid metabolism in hepatocellular carcinoma cells through Akt/mTOR/SREBP1c and P38/PPARα pathways.</w:t>
            </w:r>
          </w:p>
          <w:p>
            <w:pPr>
              <w:pStyle w:val="3"/>
              <w:adjustRightInd w:val="0"/>
              <w:spacing w:after="50" w:line="240" w:lineRule="auto"/>
              <w:ind w:firstLine="0" w:firstLineChars="0"/>
              <w:outlineLvl w:val="1"/>
              <w:rPr>
                <w:rFonts w:ascii="Times New Roman"/>
                <w:color w:val="000000"/>
                <w:sz w:val="21"/>
                <w:szCs w:val="21"/>
              </w:rPr>
            </w:pPr>
          </w:p>
        </w:tc>
        <w:tc>
          <w:tcPr>
            <w:tcW w:w="557"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color w:val="000000"/>
                <w:sz w:val="21"/>
                <w:szCs w:val="21"/>
              </w:rPr>
              <w:t>J Hepatol</w:t>
            </w:r>
          </w:p>
        </w:tc>
        <w:tc>
          <w:tcPr>
            <w:tcW w:w="1246"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color w:val="000000" w:themeColor="text1"/>
                <w:sz w:val="21"/>
                <w:szCs w:val="21"/>
              </w:rPr>
              <w:t>李积彬，黄启超，龙霄宇，张璟，黄小军，阿基业，杨虎山，陈志南，邢金良</w:t>
            </w:r>
          </w:p>
        </w:tc>
        <w:tc>
          <w:tcPr>
            <w:tcW w:w="695"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2015;63(6):</w:t>
            </w:r>
          </w:p>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1378-89</w:t>
            </w:r>
          </w:p>
        </w:tc>
        <w:tc>
          <w:tcPr>
            <w:tcW w:w="660" w:type="dxa"/>
            <w:vAlign w:val="center"/>
          </w:tcPr>
          <w:p>
            <w:pPr>
              <w:rPr>
                <w:color w:val="000000"/>
                <w:szCs w:val="21"/>
              </w:rPr>
            </w:pPr>
            <w:r>
              <w:rPr>
                <w:color w:val="000000"/>
                <w:szCs w:val="21"/>
              </w:rPr>
              <w:t>2014 Oct</w:t>
            </w:r>
          </w:p>
        </w:tc>
        <w:tc>
          <w:tcPr>
            <w:tcW w:w="567"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themeColor="text1"/>
                <w:sz w:val="21"/>
                <w:szCs w:val="21"/>
              </w:rPr>
              <w:t>邢金良</w:t>
            </w:r>
            <w:r>
              <w:rPr>
                <w:rFonts w:ascii="Times New Roman"/>
                <w:color w:val="000000"/>
                <w:sz w:val="21"/>
                <w:szCs w:val="21"/>
              </w:rPr>
              <w:t>（通讯）</w:t>
            </w:r>
          </w:p>
        </w:tc>
        <w:tc>
          <w:tcPr>
            <w:tcW w:w="709"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themeColor="text1"/>
                <w:sz w:val="21"/>
                <w:szCs w:val="21"/>
              </w:rPr>
              <w:t>李积彬</w:t>
            </w:r>
            <w:r>
              <w:rPr>
                <w:rFonts w:ascii="Times New Roman"/>
                <w:color w:val="000000"/>
                <w:sz w:val="21"/>
                <w:szCs w:val="21"/>
              </w:rPr>
              <w:t xml:space="preserve">（第一作者）, </w:t>
            </w:r>
            <w:r>
              <w:rPr>
                <w:rFonts w:ascii="Times New Roman"/>
                <w:color w:val="000000" w:themeColor="text1"/>
                <w:sz w:val="21"/>
                <w:szCs w:val="21"/>
              </w:rPr>
              <w:t>黄启超</w:t>
            </w:r>
            <w:r>
              <w:rPr>
                <w:rFonts w:ascii="Times New Roman"/>
                <w:color w:val="000000"/>
                <w:sz w:val="21"/>
                <w:szCs w:val="21"/>
              </w:rPr>
              <w:t>（共同一作）</w:t>
            </w:r>
          </w:p>
        </w:tc>
        <w:tc>
          <w:tcPr>
            <w:tcW w:w="797" w:type="dxa"/>
          </w:tcPr>
          <w:p>
            <w:pPr>
              <w:pStyle w:val="3"/>
              <w:adjustRightInd w:val="0"/>
              <w:spacing w:after="50" w:line="240" w:lineRule="auto"/>
              <w:ind w:firstLine="0" w:firstLineChars="0"/>
              <w:jc w:val="center"/>
              <w:outlineLvl w:val="1"/>
              <w:rPr>
                <w:rFonts w:ascii="Times New Roman"/>
                <w:color w:val="000000" w:themeColor="text1"/>
                <w:sz w:val="21"/>
                <w:szCs w:val="21"/>
              </w:rPr>
            </w:pPr>
            <w:r>
              <w:rPr>
                <w:rFonts w:ascii="Times New Roman"/>
                <w:color w:val="000000" w:themeColor="text1"/>
                <w:sz w:val="21"/>
                <w:szCs w:val="21"/>
              </w:rPr>
              <w:t>李积彬，黄启超，龙霄宇，张璟，黄小军，阿基业，杨虎山，陈志南，邢金良</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23</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25</w:t>
            </w:r>
          </w:p>
        </w:tc>
        <w:tc>
          <w:tcPr>
            <w:tcW w:w="37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40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4</w:t>
            </w:r>
          </w:p>
        </w:tc>
        <w:tc>
          <w:tcPr>
            <w:tcW w:w="1370" w:type="dxa"/>
            <w:vAlign w:val="center"/>
          </w:tcPr>
          <w:p>
            <w:pPr>
              <w:rPr>
                <w:color w:val="000000"/>
                <w:szCs w:val="21"/>
              </w:rPr>
            </w:pPr>
            <w:r>
              <w:rPr>
                <w:color w:val="000000"/>
                <w:szCs w:val="21"/>
              </w:rPr>
              <w:t xml:space="preserve">A regulatory loop involving miR-22, Sp1, and c-Myc modulates CD147 expression in breast cancer invasion and metastasis. </w:t>
            </w:r>
          </w:p>
        </w:tc>
        <w:tc>
          <w:tcPr>
            <w:tcW w:w="557"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color w:val="000000"/>
                <w:sz w:val="21"/>
                <w:szCs w:val="21"/>
              </w:rPr>
              <w:t>Cancer Res</w:t>
            </w:r>
          </w:p>
        </w:tc>
        <w:tc>
          <w:tcPr>
            <w:tcW w:w="1246"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孔令敏，廖成功，张阳，徐静，李郁，黄婉，</w:t>
            </w:r>
            <w:r>
              <w:rPr>
                <w:rFonts w:ascii="Times New Roman"/>
                <w:color w:val="000000" w:themeColor="text1"/>
                <w:sz w:val="21"/>
                <w:szCs w:val="21"/>
              </w:rPr>
              <w:t>张毅，</w:t>
            </w:r>
            <w:r>
              <w:rPr>
                <w:rFonts w:hint="eastAsia" w:ascii="Times New Roman"/>
                <w:color w:val="000000" w:themeColor="text1"/>
                <w:sz w:val="21"/>
                <w:szCs w:val="21"/>
              </w:rPr>
              <w:t>边惠洁，</w:t>
            </w:r>
            <w:r>
              <w:rPr>
                <w:rFonts w:ascii="Times New Roman"/>
                <w:sz w:val="21"/>
                <w:szCs w:val="21"/>
              </w:rPr>
              <w:t>陈志南</w:t>
            </w:r>
          </w:p>
        </w:tc>
        <w:tc>
          <w:tcPr>
            <w:tcW w:w="695"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2014;74(14):</w:t>
            </w:r>
          </w:p>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3764-3778</w:t>
            </w:r>
          </w:p>
        </w:tc>
        <w:tc>
          <w:tcPr>
            <w:tcW w:w="660" w:type="dxa"/>
            <w:vAlign w:val="center"/>
          </w:tcPr>
          <w:p>
            <w:pPr>
              <w:rPr>
                <w:color w:val="000000"/>
                <w:szCs w:val="21"/>
              </w:rPr>
            </w:pPr>
            <w:r>
              <w:rPr>
                <w:color w:val="000000"/>
                <w:szCs w:val="21"/>
              </w:rPr>
              <w:t>2014 Jul16</w:t>
            </w:r>
          </w:p>
        </w:tc>
        <w:tc>
          <w:tcPr>
            <w:tcW w:w="567"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themeColor="text1"/>
                <w:sz w:val="21"/>
                <w:szCs w:val="21"/>
              </w:rPr>
              <w:t>陈志南</w:t>
            </w:r>
            <w:r>
              <w:rPr>
                <w:rFonts w:ascii="Times New Roman"/>
                <w:color w:val="000000"/>
                <w:sz w:val="21"/>
                <w:szCs w:val="21"/>
              </w:rPr>
              <w:t xml:space="preserve">（通讯）, </w:t>
            </w:r>
            <w:r>
              <w:rPr>
                <w:rFonts w:hint="eastAsia" w:ascii="Times New Roman"/>
                <w:color w:val="000000" w:themeColor="text1"/>
                <w:sz w:val="21"/>
                <w:szCs w:val="21"/>
              </w:rPr>
              <w:t>边惠洁</w:t>
            </w:r>
            <w:r>
              <w:rPr>
                <w:rFonts w:ascii="Times New Roman"/>
                <w:color w:val="000000"/>
                <w:sz w:val="21"/>
                <w:szCs w:val="21"/>
              </w:rPr>
              <w:t>（共同通讯）</w:t>
            </w:r>
          </w:p>
        </w:tc>
        <w:tc>
          <w:tcPr>
            <w:tcW w:w="709"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sz w:val="21"/>
                <w:szCs w:val="21"/>
              </w:rPr>
              <w:t>孔令敏</w:t>
            </w:r>
            <w:r>
              <w:rPr>
                <w:rFonts w:ascii="Times New Roman"/>
                <w:color w:val="000000"/>
                <w:sz w:val="21"/>
                <w:szCs w:val="21"/>
              </w:rPr>
              <w:t xml:space="preserve">（第一作者）, </w:t>
            </w:r>
            <w:r>
              <w:rPr>
                <w:rFonts w:ascii="Times New Roman"/>
                <w:sz w:val="21"/>
                <w:szCs w:val="21"/>
              </w:rPr>
              <w:t>廖成功</w:t>
            </w:r>
            <w:r>
              <w:rPr>
                <w:rFonts w:ascii="Times New Roman"/>
                <w:color w:val="000000"/>
                <w:sz w:val="21"/>
                <w:szCs w:val="21"/>
              </w:rPr>
              <w:t>（共同一作）</w:t>
            </w:r>
          </w:p>
        </w:tc>
        <w:tc>
          <w:tcPr>
            <w:tcW w:w="797" w:type="dxa"/>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孔令敏，廖成功，张阳，徐静，李郁，黄婉，</w:t>
            </w:r>
            <w:r>
              <w:rPr>
                <w:rFonts w:ascii="Times New Roman"/>
                <w:color w:val="000000" w:themeColor="text1"/>
                <w:sz w:val="21"/>
                <w:szCs w:val="21"/>
              </w:rPr>
              <w:t>张毅，</w:t>
            </w:r>
            <w:r>
              <w:rPr>
                <w:rFonts w:hint="eastAsia" w:ascii="Times New Roman"/>
                <w:color w:val="000000" w:themeColor="text1"/>
                <w:sz w:val="21"/>
                <w:szCs w:val="21"/>
              </w:rPr>
              <w:t>边惠洁，</w:t>
            </w:r>
            <w:r>
              <w:rPr>
                <w:rFonts w:ascii="Times New Roman"/>
                <w:sz w:val="21"/>
                <w:szCs w:val="21"/>
              </w:rPr>
              <w:t>陈志南</w:t>
            </w:r>
          </w:p>
          <w:p>
            <w:pPr>
              <w:pStyle w:val="3"/>
              <w:adjustRightInd w:val="0"/>
              <w:spacing w:after="50" w:line="240" w:lineRule="auto"/>
              <w:ind w:firstLine="0" w:firstLineChars="0"/>
              <w:jc w:val="center"/>
              <w:outlineLvl w:val="1"/>
              <w:rPr>
                <w:rFonts w:ascii="Times New Roman"/>
                <w:sz w:val="21"/>
                <w:szCs w:val="21"/>
              </w:rPr>
            </w:pPr>
          </w:p>
          <w:p>
            <w:pPr>
              <w:pStyle w:val="3"/>
              <w:adjustRightInd w:val="0"/>
              <w:spacing w:after="50" w:line="240" w:lineRule="auto"/>
              <w:ind w:firstLine="0" w:firstLineChars="0"/>
              <w:jc w:val="center"/>
              <w:outlineLvl w:val="1"/>
              <w:rPr>
                <w:rFonts w:ascii="Times New Roman"/>
                <w:sz w:val="21"/>
                <w:szCs w:val="21"/>
              </w:rPr>
            </w:pP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72</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79</w:t>
            </w:r>
          </w:p>
        </w:tc>
        <w:tc>
          <w:tcPr>
            <w:tcW w:w="37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40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5</w:t>
            </w:r>
          </w:p>
        </w:tc>
        <w:tc>
          <w:tcPr>
            <w:tcW w:w="1370" w:type="dxa"/>
            <w:vAlign w:val="center"/>
          </w:tcPr>
          <w:p>
            <w:pPr>
              <w:rPr>
                <w:color w:val="000000"/>
                <w:szCs w:val="21"/>
              </w:rPr>
            </w:pPr>
            <w:r>
              <w:rPr>
                <w:color w:val="000000"/>
                <w:szCs w:val="21"/>
              </w:rPr>
              <w:t xml:space="preserve">Regulation of a TGF-β1-CD147 self-sustaining network in the differentiation plasticity of hepatocellular carcinoma cells. </w:t>
            </w:r>
          </w:p>
        </w:tc>
        <w:tc>
          <w:tcPr>
            <w:tcW w:w="557"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color w:val="000000"/>
                <w:sz w:val="21"/>
                <w:szCs w:val="21"/>
              </w:rPr>
              <w:t>Oncogene</w:t>
            </w:r>
          </w:p>
        </w:tc>
        <w:tc>
          <w:tcPr>
            <w:tcW w:w="1246" w:type="dxa"/>
            <w:vAlign w:val="center"/>
          </w:tcPr>
          <w:p>
            <w:pPr>
              <w:rPr>
                <w:color w:val="000000"/>
                <w:szCs w:val="21"/>
              </w:rPr>
            </w:pPr>
            <w:r>
              <w:rPr>
                <w:szCs w:val="21"/>
              </w:rPr>
              <w:t>吴佼，陆蒙，李勇，尚玉奎，汪世婕，梦瑶，王哲，李增山，陈辉，陈志南，边惠洁</w:t>
            </w:r>
          </w:p>
          <w:p>
            <w:pPr>
              <w:pStyle w:val="3"/>
              <w:adjustRightInd w:val="0"/>
              <w:spacing w:after="50" w:line="240" w:lineRule="auto"/>
              <w:ind w:firstLine="0" w:firstLineChars="0"/>
              <w:jc w:val="center"/>
              <w:outlineLvl w:val="1"/>
              <w:rPr>
                <w:rFonts w:ascii="Times New Roman"/>
                <w:sz w:val="21"/>
                <w:szCs w:val="21"/>
              </w:rPr>
            </w:pPr>
          </w:p>
        </w:tc>
        <w:tc>
          <w:tcPr>
            <w:tcW w:w="695"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2016;35(42):</w:t>
            </w:r>
          </w:p>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5468-5479</w:t>
            </w:r>
          </w:p>
        </w:tc>
        <w:tc>
          <w:tcPr>
            <w:tcW w:w="660" w:type="dxa"/>
            <w:vAlign w:val="center"/>
          </w:tcPr>
          <w:p>
            <w:pPr>
              <w:rPr>
                <w:color w:val="000000"/>
                <w:szCs w:val="21"/>
              </w:rPr>
            </w:pPr>
            <w:r>
              <w:rPr>
                <w:color w:val="000000"/>
                <w:szCs w:val="21"/>
              </w:rPr>
              <w:t>2016 Oct 20</w:t>
            </w:r>
          </w:p>
        </w:tc>
        <w:tc>
          <w:tcPr>
            <w:tcW w:w="567"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sz w:val="21"/>
                <w:szCs w:val="21"/>
              </w:rPr>
              <w:t>边惠洁</w:t>
            </w:r>
            <w:r>
              <w:rPr>
                <w:rFonts w:ascii="Times New Roman"/>
                <w:color w:val="000000"/>
                <w:sz w:val="21"/>
                <w:szCs w:val="21"/>
              </w:rPr>
              <w:t xml:space="preserve">（通讯）, </w:t>
            </w:r>
            <w:r>
              <w:rPr>
                <w:rFonts w:ascii="Times New Roman"/>
                <w:sz w:val="21"/>
                <w:szCs w:val="21"/>
              </w:rPr>
              <w:t>陈志南</w:t>
            </w:r>
            <w:r>
              <w:rPr>
                <w:rFonts w:ascii="Times New Roman"/>
                <w:color w:val="000000"/>
                <w:sz w:val="21"/>
                <w:szCs w:val="21"/>
              </w:rPr>
              <w:t>（共同通讯）</w:t>
            </w:r>
          </w:p>
        </w:tc>
        <w:tc>
          <w:tcPr>
            <w:tcW w:w="709"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sz w:val="21"/>
                <w:szCs w:val="21"/>
              </w:rPr>
              <w:t>吴佼</w:t>
            </w:r>
            <w:r>
              <w:rPr>
                <w:rFonts w:ascii="Times New Roman"/>
                <w:color w:val="000000"/>
                <w:sz w:val="21"/>
                <w:szCs w:val="21"/>
              </w:rPr>
              <w:t xml:space="preserve">（第一作者）, </w:t>
            </w:r>
            <w:r>
              <w:rPr>
                <w:rFonts w:ascii="Times New Roman"/>
                <w:sz w:val="21"/>
                <w:szCs w:val="21"/>
              </w:rPr>
              <w:t>陆蒙</w:t>
            </w:r>
            <w:r>
              <w:rPr>
                <w:rFonts w:ascii="Times New Roman"/>
                <w:color w:val="000000"/>
                <w:sz w:val="21"/>
                <w:szCs w:val="21"/>
              </w:rPr>
              <w:t>（共同一作）</w:t>
            </w:r>
            <w:r>
              <w:rPr>
                <w:rFonts w:hint="eastAsia" w:ascii="Times New Roman"/>
                <w:color w:val="000000"/>
                <w:sz w:val="21"/>
                <w:szCs w:val="21"/>
              </w:rPr>
              <w:t>,</w:t>
            </w:r>
            <w:r>
              <w:t xml:space="preserve"> </w:t>
            </w:r>
            <w:r>
              <w:rPr>
                <w:rFonts w:ascii="Times New Roman"/>
                <w:sz w:val="21"/>
                <w:szCs w:val="21"/>
              </w:rPr>
              <w:t>李勇</w:t>
            </w:r>
            <w:r>
              <w:rPr>
                <w:rFonts w:ascii="Times New Roman"/>
                <w:color w:val="000000"/>
                <w:sz w:val="21"/>
                <w:szCs w:val="21"/>
              </w:rPr>
              <w:t>（共同一作）</w:t>
            </w:r>
          </w:p>
        </w:tc>
        <w:tc>
          <w:tcPr>
            <w:tcW w:w="797" w:type="dxa"/>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吴佼，陆蒙，李勇，尚玉奎，汪世婕，梦瑶，王哲，李增山，陈辉，陈志南，边惠洁</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5</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7</w:t>
            </w:r>
          </w:p>
        </w:tc>
        <w:tc>
          <w:tcPr>
            <w:tcW w:w="37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40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6</w:t>
            </w:r>
          </w:p>
        </w:tc>
        <w:tc>
          <w:tcPr>
            <w:tcW w:w="1370" w:type="dxa"/>
            <w:vAlign w:val="center"/>
          </w:tcPr>
          <w:p>
            <w:pPr>
              <w:rPr>
                <w:color w:val="000000"/>
                <w:szCs w:val="21"/>
              </w:rPr>
            </w:pPr>
            <w:r>
              <w:rPr>
                <w:color w:val="000000"/>
                <w:szCs w:val="21"/>
              </w:rPr>
              <w:t xml:space="preserve">HAb18G/CD147 promotes radioresistance in hepatocellular carcinoma cells: a potential role for integrin β1 signaling. </w:t>
            </w:r>
          </w:p>
        </w:tc>
        <w:tc>
          <w:tcPr>
            <w:tcW w:w="557"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color w:val="000000"/>
                <w:sz w:val="21"/>
                <w:szCs w:val="21"/>
              </w:rPr>
              <w:t>Mol Cancer Ther</w:t>
            </w:r>
          </w:p>
        </w:tc>
        <w:tc>
          <w:tcPr>
            <w:tcW w:w="1246" w:type="dxa"/>
            <w:vAlign w:val="center"/>
          </w:tcPr>
          <w:p>
            <w:pPr>
              <w:rPr>
                <w:szCs w:val="21"/>
              </w:rPr>
            </w:pPr>
            <w:r>
              <w:rPr>
                <w:szCs w:val="21"/>
              </w:rPr>
              <w:t>吴佼，李勇，党亚正，高红翔，蒋建利，陈志南</w:t>
            </w:r>
          </w:p>
        </w:tc>
        <w:tc>
          <w:tcPr>
            <w:tcW w:w="695"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2015;14(2):</w:t>
            </w:r>
          </w:p>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553-563</w:t>
            </w:r>
          </w:p>
        </w:tc>
        <w:tc>
          <w:tcPr>
            <w:tcW w:w="660" w:type="dxa"/>
            <w:vAlign w:val="center"/>
          </w:tcPr>
          <w:p>
            <w:pPr>
              <w:rPr>
                <w:color w:val="000000"/>
                <w:szCs w:val="21"/>
              </w:rPr>
            </w:pPr>
            <w:r>
              <w:rPr>
                <w:color w:val="000000"/>
                <w:szCs w:val="21"/>
              </w:rPr>
              <w:t>2014 Feb</w:t>
            </w:r>
          </w:p>
        </w:tc>
        <w:tc>
          <w:tcPr>
            <w:tcW w:w="567"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sz w:val="21"/>
                <w:szCs w:val="21"/>
              </w:rPr>
              <w:t>陈志南</w:t>
            </w:r>
            <w:r>
              <w:rPr>
                <w:rFonts w:ascii="Times New Roman"/>
                <w:color w:val="000000"/>
                <w:sz w:val="21"/>
                <w:szCs w:val="21"/>
              </w:rPr>
              <w:t xml:space="preserve">（通讯）, </w:t>
            </w:r>
            <w:r>
              <w:rPr>
                <w:rFonts w:ascii="Times New Roman"/>
                <w:sz w:val="21"/>
                <w:szCs w:val="21"/>
              </w:rPr>
              <w:t>蒋建利</w:t>
            </w:r>
            <w:r>
              <w:rPr>
                <w:rFonts w:ascii="Times New Roman"/>
                <w:color w:val="000000"/>
                <w:sz w:val="21"/>
                <w:szCs w:val="21"/>
              </w:rPr>
              <w:t>（共同通讯）</w:t>
            </w:r>
          </w:p>
        </w:tc>
        <w:tc>
          <w:tcPr>
            <w:tcW w:w="709"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sz w:val="21"/>
                <w:szCs w:val="21"/>
              </w:rPr>
              <w:t>吴佼</w:t>
            </w:r>
            <w:r>
              <w:rPr>
                <w:rFonts w:ascii="Times New Roman"/>
                <w:color w:val="000000"/>
                <w:sz w:val="21"/>
                <w:szCs w:val="21"/>
              </w:rPr>
              <w:t xml:space="preserve">（第一作者）, </w:t>
            </w:r>
            <w:r>
              <w:rPr>
                <w:rFonts w:ascii="Times New Roman"/>
                <w:sz w:val="21"/>
                <w:szCs w:val="21"/>
              </w:rPr>
              <w:t>李勇</w:t>
            </w:r>
            <w:r>
              <w:rPr>
                <w:rFonts w:ascii="Times New Roman"/>
                <w:color w:val="000000"/>
                <w:sz w:val="21"/>
                <w:szCs w:val="21"/>
              </w:rPr>
              <w:t>（共同一作）</w:t>
            </w:r>
          </w:p>
        </w:tc>
        <w:tc>
          <w:tcPr>
            <w:tcW w:w="797" w:type="dxa"/>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吴佼，李勇，党亚正，高红翔，蒋建利，陈志南</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14</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16</w:t>
            </w:r>
          </w:p>
        </w:tc>
        <w:tc>
          <w:tcPr>
            <w:tcW w:w="37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40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7</w:t>
            </w:r>
          </w:p>
        </w:tc>
        <w:tc>
          <w:tcPr>
            <w:tcW w:w="1370" w:type="dxa"/>
            <w:vAlign w:val="center"/>
          </w:tcPr>
          <w:p>
            <w:pPr>
              <w:pStyle w:val="3"/>
              <w:spacing w:line="240" w:lineRule="auto"/>
              <w:ind w:firstLine="0" w:firstLineChars="0"/>
              <w:rPr>
                <w:color w:val="000000"/>
                <w:szCs w:val="21"/>
              </w:rPr>
            </w:pPr>
            <w:r>
              <w:rPr>
                <w:rFonts w:ascii="Times New Roman"/>
                <w:color w:val="000000"/>
                <w:sz w:val="21"/>
                <w:szCs w:val="21"/>
              </w:rPr>
              <w:t>Extracellular membrane-proximal domain of HAb18G/CD147 binds to metal ion-dependent adhesion site (MIDAS) motif of integrin β1 to modulate malignant properties of hepatoma cells.</w:t>
            </w:r>
            <w:r>
              <w:rPr>
                <w:rFonts w:ascii="Times New Roman"/>
                <w:b/>
                <w:color w:val="000000"/>
                <w:sz w:val="21"/>
                <w:szCs w:val="21"/>
              </w:rPr>
              <w:t xml:space="preserve"> </w:t>
            </w:r>
          </w:p>
        </w:tc>
        <w:tc>
          <w:tcPr>
            <w:tcW w:w="557"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J Biol Chem</w:t>
            </w:r>
          </w:p>
        </w:tc>
        <w:tc>
          <w:tcPr>
            <w:tcW w:w="1246"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color w:val="000000"/>
                <w:sz w:val="21"/>
                <w:szCs w:val="21"/>
              </w:rPr>
              <w:t>李勇，吴佼，宋菲，唐娟，汪世婕，余晓玲，陈志南，蒋建利</w:t>
            </w:r>
          </w:p>
        </w:tc>
        <w:tc>
          <w:tcPr>
            <w:tcW w:w="695" w:type="dxa"/>
            <w:vAlign w:val="center"/>
          </w:tcPr>
          <w:p>
            <w:pPr>
              <w:pStyle w:val="3"/>
              <w:adjustRightInd w:val="0"/>
              <w:spacing w:after="50" w:line="240" w:lineRule="auto"/>
              <w:ind w:firstLine="0" w:firstLineChars="0"/>
              <w:jc w:val="center"/>
              <w:outlineLvl w:val="1"/>
              <w:rPr>
                <w:rFonts w:ascii="Times New Roman"/>
                <w:color w:val="000000"/>
                <w:sz w:val="21"/>
                <w:szCs w:val="21"/>
              </w:rPr>
            </w:pPr>
            <w:r>
              <w:rPr>
                <w:rFonts w:ascii="Times New Roman"/>
                <w:color w:val="000000"/>
                <w:sz w:val="21"/>
                <w:szCs w:val="21"/>
              </w:rPr>
              <w:t>2012 ;287(7):4759-4772</w:t>
            </w:r>
          </w:p>
        </w:tc>
        <w:tc>
          <w:tcPr>
            <w:tcW w:w="660" w:type="dxa"/>
            <w:vAlign w:val="center"/>
          </w:tcPr>
          <w:p>
            <w:pPr>
              <w:rPr>
                <w:color w:val="000000"/>
                <w:szCs w:val="21"/>
              </w:rPr>
            </w:pPr>
            <w:r>
              <w:rPr>
                <w:color w:val="000000"/>
                <w:szCs w:val="21"/>
              </w:rPr>
              <w:t>2012 Feb 10</w:t>
            </w:r>
          </w:p>
        </w:tc>
        <w:tc>
          <w:tcPr>
            <w:tcW w:w="567" w:type="dxa"/>
            <w:vAlign w:val="center"/>
          </w:tcPr>
          <w:p>
            <w:pPr>
              <w:pStyle w:val="3"/>
              <w:adjustRightInd w:val="0"/>
              <w:spacing w:after="50" w:line="240" w:lineRule="auto"/>
              <w:ind w:firstLine="0" w:firstLineChars="0"/>
              <w:jc w:val="center"/>
              <w:outlineLvl w:val="1"/>
              <w:rPr>
                <w:rFonts w:ascii="Times New Roman"/>
                <w:color w:val="000000"/>
                <w:sz w:val="21"/>
                <w:szCs w:val="21"/>
              </w:rPr>
            </w:pPr>
            <w:r>
              <w:rPr>
                <w:rFonts w:ascii="Times New Roman"/>
                <w:color w:val="000000"/>
                <w:sz w:val="21"/>
                <w:szCs w:val="21"/>
              </w:rPr>
              <w:t>蒋建利（通讯）, 陈志南(共同通讯)</w:t>
            </w:r>
          </w:p>
        </w:tc>
        <w:tc>
          <w:tcPr>
            <w:tcW w:w="709" w:type="dxa"/>
            <w:vAlign w:val="center"/>
          </w:tcPr>
          <w:p>
            <w:pPr>
              <w:pStyle w:val="3"/>
              <w:adjustRightInd w:val="0"/>
              <w:spacing w:after="50" w:line="240" w:lineRule="auto"/>
              <w:ind w:firstLine="0" w:firstLineChars="0"/>
              <w:jc w:val="center"/>
              <w:outlineLvl w:val="1"/>
              <w:rPr>
                <w:rFonts w:ascii="Times New Roman"/>
                <w:color w:val="000000"/>
                <w:sz w:val="21"/>
                <w:szCs w:val="21"/>
              </w:rPr>
            </w:pPr>
            <w:r>
              <w:rPr>
                <w:rFonts w:ascii="Times New Roman"/>
                <w:color w:val="000000"/>
                <w:sz w:val="21"/>
                <w:szCs w:val="21"/>
              </w:rPr>
              <w:t>李勇（第一作者）,吴佼（共同一作）</w:t>
            </w:r>
          </w:p>
        </w:tc>
        <w:tc>
          <w:tcPr>
            <w:tcW w:w="797" w:type="dxa"/>
            <w:vAlign w:val="center"/>
          </w:tcPr>
          <w:p>
            <w:pPr>
              <w:pStyle w:val="3"/>
              <w:adjustRightInd w:val="0"/>
              <w:spacing w:after="50" w:line="240" w:lineRule="auto"/>
              <w:ind w:firstLine="0" w:firstLineChars="0"/>
              <w:jc w:val="center"/>
              <w:outlineLvl w:val="1"/>
              <w:rPr>
                <w:rFonts w:ascii="Times New Roman"/>
                <w:color w:val="000000"/>
                <w:sz w:val="21"/>
                <w:szCs w:val="21"/>
              </w:rPr>
            </w:pPr>
            <w:r>
              <w:rPr>
                <w:rFonts w:ascii="Times New Roman"/>
                <w:color w:val="000000"/>
                <w:sz w:val="21"/>
                <w:szCs w:val="21"/>
              </w:rPr>
              <w:t>李勇，吴佼，宋菲，唐娟，汪世婕，余晓玲，陈志南，蒋建利</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27</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45</w:t>
            </w:r>
          </w:p>
        </w:tc>
        <w:tc>
          <w:tcPr>
            <w:tcW w:w="37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40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8</w:t>
            </w:r>
          </w:p>
        </w:tc>
        <w:tc>
          <w:tcPr>
            <w:tcW w:w="1370" w:type="dxa"/>
            <w:vAlign w:val="center"/>
          </w:tcPr>
          <w:p>
            <w:pPr>
              <w:rPr>
                <w:color w:val="000000"/>
                <w:szCs w:val="21"/>
              </w:rPr>
            </w:pPr>
            <w:r>
              <w:rPr>
                <w:color w:val="000000"/>
                <w:szCs w:val="21"/>
              </w:rPr>
              <w:t>Promoter hypomethylation up-regulates CD147 expression through increasing Sp1 binding and associates with poor prognosis in human hepatocellular carcinoma.</w:t>
            </w:r>
          </w:p>
        </w:tc>
        <w:tc>
          <w:tcPr>
            <w:tcW w:w="557"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color w:val="000000"/>
                <w:sz w:val="21"/>
                <w:szCs w:val="21"/>
              </w:rPr>
              <w:t>J Cell Mol Med</w:t>
            </w:r>
          </w:p>
        </w:tc>
        <w:tc>
          <w:tcPr>
            <w:tcW w:w="1246" w:type="dxa"/>
            <w:vAlign w:val="center"/>
          </w:tcPr>
          <w:p>
            <w:pPr>
              <w:pStyle w:val="3"/>
              <w:adjustRightInd w:val="0"/>
              <w:spacing w:after="50" w:line="240" w:lineRule="auto"/>
              <w:ind w:firstLine="0" w:firstLineChars="0"/>
              <w:outlineLvl w:val="1"/>
              <w:rPr>
                <w:rFonts w:ascii="Times New Roman"/>
                <w:color w:val="000000"/>
                <w:sz w:val="21"/>
                <w:szCs w:val="21"/>
              </w:rPr>
            </w:pPr>
            <w:r>
              <w:rPr>
                <w:rFonts w:ascii="Times New Roman"/>
                <w:sz w:val="21"/>
                <w:szCs w:val="21"/>
              </w:rPr>
              <w:t>孔令敏，廖成功，陈</w:t>
            </w:r>
            <w:r>
              <w:rPr>
                <w:rFonts w:hint="eastAsia" w:ascii="Times New Roman"/>
                <w:sz w:val="21"/>
                <w:szCs w:val="21"/>
              </w:rPr>
              <w:t>亮</w:t>
            </w:r>
            <w:r>
              <w:rPr>
                <w:rFonts w:ascii="Times New Roman"/>
                <w:sz w:val="21"/>
                <w:szCs w:val="21"/>
              </w:rPr>
              <w:t>， 杨虎山，张思河，张征，边惠洁，邢金良，陈志南</w:t>
            </w:r>
          </w:p>
        </w:tc>
        <w:tc>
          <w:tcPr>
            <w:tcW w:w="695" w:type="dxa"/>
            <w:vAlign w:val="center"/>
          </w:tcPr>
          <w:p>
            <w:pPr>
              <w:pStyle w:val="3"/>
              <w:adjustRightInd w:val="0"/>
              <w:spacing w:after="50" w:line="240" w:lineRule="auto"/>
              <w:ind w:firstLine="0" w:firstLineChars="0"/>
              <w:jc w:val="center"/>
              <w:outlineLvl w:val="1"/>
              <w:rPr>
                <w:rFonts w:ascii="Times New Roman"/>
                <w:color w:val="000000"/>
                <w:sz w:val="21"/>
                <w:szCs w:val="21"/>
              </w:rPr>
            </w:pPr>
            <w:r>
              <w:rPr>
                <w:rFonts w:ascii="Times New Roman"/>
                <w:color w:val="000000"/>
                <w:sz w:val="21"/>
                <w:szCs w:val="21"/>
              </w:rPr>
              <w:t>2011;15(6):1415-1428</w:t>
            </w:r>
          </w:p>
        </w:tc>
        <w:tc>
          <w:tcPr>
            <w:tcW w:w="660" w:type="dxa"/>
            <w:vAlign w:val="center"/>
          </w:tcPr>
          <w:p>
            <w:pPr>
              <w:rPr>
                <w:color w:val="000000"/>
                <w:szCs w:val="21"/>
              </w:rPr>
            </w:pPr>
            <w:r>
              <w:rPr>
                <w:color w:val="000000"/>
                <w:szCs w:val="21"/>
              </w:rPr>
              <w:t>2011 Jun</w:t>
            </w:r>
          </w:p>
        </w:tc>
        <w:tc>
          <w:tcPr>
            <w:tcW w:w="567" w:type="dxa"/>
            <w:vAlign w:val="center"/>
          </w:tcPr>
          <w:p>
            <w:pPr>
              <w:pStyle w:val="3"/>
              <w:adjustRightInd w:val="0"/>
              <w:spacing w:after="50" w:line="240" w:lineRule="auto"/>
              <w:ind w:firstLine="0" w:firstLineChars="0"/>
              <w:jc w:val="center"/>
              <w:outlineLvl w:val="1"/>
              <w:rPr>
                <w:rFonts w:ascii="Times New Roman"/>
                <w:color w:val="000000"/>
                <w:sz w:val="21"/>
                <w:szCs w:val="21"/>
              </w:rPr>
            </w:pPr>
            <w:r>
              <w:rPr>
                <w:rFonts w:ascii="Times New Roman"/>
                <w:sz w:val="21"/>
                <w:szCs w:val="21"/>
              </w:rPr>
              <w:t>陈志南</w:t>
            </w:r>
            <w:r>
              <w:rPr>
                <w:rFonts w:ascii="Times New Roman"/>
                <w:color w:val="000000"/>
                <w:sz w:val="21"/>
                <w:szCs w:val="21"/>
              </w:rPr>
              <w:t>（通讯）</w:t>
            </w:r>
            <w:r>
              <w:rPr>
                <w:rFonts w:ascii="Times New Roman"/>
                <w:sz w:val="21"/>
                <w:szCs w:val="21"/>
              </w:rPr>
              <w:t>邢金良</w:t>
            </w:r>
            <w:r>
              <w:rPr>
                <w:rFonts w:ascii="Times New Roman"/>
                <w:color w:val="000000"/>
                <w:sz w:val="21"/>
                <w:szCs w:val="21"/>
              </w:rPr>
              <w:t>(共同通讯)</w:t>
            </w:r>
          </w:p>
        </w:tc>
        <w:tc>
          <w:tcPr>
            <w:tcW w:w="709" w:type="dxa"/>
            <w:vAlign w:val="center"/>
          </w:tcPr>
          <w:p>
            <w:pPr>
              <w:pStyle w:val="3"/>
              <w:adjustRightInd w:val="0"/>
              <w:spacing w:after="50" w:line="240" w:lineRule="auto"/>
              <w:ind w:firstLine="0" w:firstLineChars="0"/>
              <w:jc w:val="center"/>
              <w:outlineLvl w:val="1"/>
              <w:rPr>
                <w:rFonts w:ascii="Times New Roman"/>
                <w:color w:val="000000"/>
                <w:sz w:val="21"/>
                <w:szCs w:val="21"/>
              </w:rPr>
            </w:pPr>
            <w:r>
              <w:rPr>
                <w:rFonts w:ascii="Times New Roman"/>
                <w:sz w:val="21"/>
                <w:szCs w:val="21"/>
              </w:rPr>
              <w:t>孔令敏</w:t>
            </w:r>
            <w:r>
              <w:rPr>
                <w:rFonts w:ascii="Times New Roman"/>
                <w:color w:val="000000"/>
                <w:sz w:val="21"/>
                <w:szCs w:val="21"/>
              </w:rPr>
              <w:t xml:space="preserve">（第一作者）, </w:t>
            </w:r>
            <w:r>
              <w:rPr>
                <w:rFonts w:ascii="Times New Roman"/>
                <w:sz w:val="21"/>
                <w:szCs w:val="21"/>
              </w:rPr>
              <w:t>廖成功</w:t>
            </w:r>
            <w:r>
              <w:rPr>
                <w:rFonts w:ascii="Times New Roman"/>
                <w:color w:val="000000"/>
                <w:sz w:val="21"/>
                <w:szCs w:val="21"/>
              </w:rPr>
              <w:t>（共同一作）</w:t>
            </w:r>
          </w:p>
        </w:tc>
        <w:tc>
          <w:tcPr>
            <w:tcW w:w="797" w:type="dxa"/>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孔令敏，廖成功，陈</w:t>
            </w:r>
            <w:r>
              <w:rPr>
                <w:rFonts w:hint="eastAsia" w:ascii="Times New Roman"/>
                <w:sz w:val="21"/>
                <w:szCs w:val="21"/>
              </w:rPr>
              <w:t>亮</w:t>
            </w:r>
            <w:r>
              <w:rPr>
                <w:rFonts w:ascii="Times New Roman"/>
                <w:sz w:val="21"/>
                <w:szCs w:val="21"/>
              </w:rPr>
              <w:t>， 杨虎山，张思河，张征，边惠洁，邢金良，陈志南</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31</w:t>
            </w:r>
          </w:p>
        </w:tc>
        <w:tc>
          <w:tcPr>
            <w:tcW w:w="55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40</w:t>
            </w:r>
          </w:p>
        </w:tc>
        <w:tc>
          <w:tcPr>
            <w:tcW w:w="37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bl>
    <w:p>
      <w:pPr>
        <w:jc w:val="center"/>
        <w:outlineLvl w:val="1"/>
        <w:rPr>
          <w:b/>
          <w:sz w:val="28"/>
          <w:szCs w:val="28"/>
        </w:rPr>
      </w:pPr>
    </w:p>
    <w:p>
      <w:pPr>
        <w:jc w:val="center"/>
        <w:outlineLvl w:val="1"/>
        <w:rPr>
          <w:b/>
          <w:sz w:val="28"/>
          <w:szCs w:val="28"/>
        </w:rPr>
      </w:pPr>
    </w:p>
    <w:p>
      <w:pPr>
        <w:jc w:val="center"/>
        <w:outlineLvl w:val="1"/>
        <w:rPr>
          <w:b/>
          <w:sz w:val="28"/>
          <w:szCs w:val="28"/>
        </w:rPr>
      </w:pPr>
    </w:p>
    <w:p>
      <w:pPr>
        <w:jc w:val="center"/>
        <w:outlineLvl w:val="1"/>
        <w:rPr>
          <w:b/>
          <w:sz w:val="28"/>
          <w:szCs w:val="28"/>
        </w:rPr>
      </w:pPr>
    </w:p>
    <w:p>
      <w:pPr>
        <w:jc w:val="center"/>
        <w:outlineLvl w:val="1"/>
        <w:rPr>
          <w:b/>
          <w:sz w:val="28"/>
          <w:szCs w:val="28"/>
        </w:rPr>
      </w:pPr>
    </w:p>
    <w:p>
      <w:pPr>
        <w:jc w:val="center"/>
        <w:outlineLvl w:val="1"/>
        <w:rPr>
          <w:b/>
          <w:sz w:val="28"/>
          <w:szCs w:val="28"/>
        </w:rPr>
      </w:pPr>
    </w:p>
    <w:p>
      <w:pPr>
        <w:jc w:val="center"/>
        <w:outlineLvl w:val="1"/>
        <w:rPr>
          <w:b/>
          <w:sz w:val="28"/>
          <w:szCs w:val="28"/>
        </w:rPr>
      </w:pPr>
    </w:p>
    <w:p>
      <w:pPr>
        <w:jc w:val="center"/>
        <w:outlineLvl w:val="1"/>
        <w:rPr>
          <w:b/>
          <w:sz w:val="28"/>
          <w:szCs w:val="28"/>
        </w:rPr>
      </w:pPr>
    </w:p>
    <w:p>
      <w:pPr>
        <w:jc w:val="center"/>
        <w:outlineLvl w:val="1"/>
        <w:rPr>
          <w:b/>
          <w:sz w:val="28"/>
          <w:szCs w:val="28"/>
        </w:rPr>
      </w:pPr>
    </w:p>
    <w:p>
      <w:pPr>
        <w:rPr>
          <w:b/>
          <w:sz w:val="28"/>
          <w:szCs w:val="28"/>
        </w:rPr>
      </w:pPr>
      <w:r>
        <w:rPr>
          <w:b/>
          <w:sz w:val="28"/>
          <w:szCs w:val="28"/>
        </w:rPr>
        <w:br w:type="page"/>
      </w:r>
    </w:p>
    <w:p>
      <w:pPr>
        <w:jc w:val="center"/>
        <w:outlineLvl w:val="1"/>
        <w:rPr>
          <w:b/>
          <w:sz w:val="28"/>
          <w:szCs w:val="28"/>
        </w:rPr>
      </w:pPr>
      <w:r>
        <w:rPr>
          <w:b/>
          <w:sz w:val="28"/>
          <w:szCs w:val="28"/>
        </w:rPr>
        <w:t>七、主要完成人情况表</w:t>
      </w:r>
    </w:p>
    <w:tbl>
      <w:tblPr>
        <w:tblStyle w:val="11"/>
        <w:tblW w:w="918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680"/>
        <w:gridCol w:w="561"/>
        <w:gridCol w:w="1201"/>
        <w:gridCol w:w="1600"/>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姓    名</w:t>
            </w:r>
          </w:p>
        </w:tc>
        <w:tc>
          <w:tcPr>
            <w:tcW w:w="1360"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边惠洁</w:t>
            </w:r>
          </w:p>
        </w:tc>
        <w:tc>
          <w:tcPr>
            <w:tcW w:w="68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性别</w:t>
            </w:r>
          </w:p>
        </w:tc>
        <w:tc>
          <w:tcPr>
            <w:tcW w:w="5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女</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排    名</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第一</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国    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出生年月</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 生 地</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民    族</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身份证号</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归国人员</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sz w:val="21"/>
                <w:highlight w:val="black"/>
              </w:rPr>
              <w:t>□</w:t>
            </w:r>
            <w:r>
              <w:rPr>
                <w:rFonts w:ascii="Times New Roman"/>
                <w:sz w:val="21"/>
              </w:rPr>
              <w:t>是 □否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归国时间</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技术职称</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教授</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最高学历</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博士研究生</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毕业学校</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第四军医大学</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毕业时间</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所学专业</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病理学</w:t>
            </w:r>
          </w:p>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与病理生理学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电子邮箱</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办公电话</w:t>
            </w:r>
          </w:p>
        </w:tc>
        <w:tc>
          <w:tcPr>
            <w:tcW w:w="1600" w:type="dxa"/>
            <w:vAlign w:val="center"/>
          </w:tcPr>
          <w:p>
            <w:pPr>
              <w:pStyle w:val="3"/>
              <w:spacing w:line="390" w:lineRule="exact"/>
              <w:ind w:firstLine="0" w:firstLineChars="0"/>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移动电话</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通讯地址</w:t>
            </w:r>
          </w:p>
        </w:tc>
        <w:tc>
          <w:tcPr>
            <w:tcW w:w="5402" w:type="dxa"/>
            <w:gridSpan w:val="6"/>
            <w:tcBorders>
              <w:bottom w:val="single" w:color="auto" w:sz="4" w:space="0"/>
            </w:tcBorders>
            <w:vAlign w:val="center"/>
          </w:tcPr>
          <w:p>
            <w:pPr>
              <w:widowControl/>
              <w:jc w:val="center"/>
              <w:rPr>
                <w:color w:val="000000"/>
                <w:szCs w:val="21"/>
              </w:rPr>
            </w:pPr>
            <w:r>
              <w:rPr>
                <w:color w:val="000000"/>
                <w:szCs w:val="21"/>
              </w:rPr>
              <w:t>陕西省西安市长乐西路169号</w:t>
            </w:r>
          </w:p>
          <w:p>
            <w:pPr>
              <w:widowControl/>
              <w:jc w:val="center"/>
              <w:rPr>
                <w:color w:val="000000"/>
                <w:szCs w:val="21"/>
              </w:rPr>
            </w:pPr>
            <w:r>
              <w:rPr>
                <w:color w:val="000000"/>
                <w:szCs w:val="21"/>
              </w:rPr>
              <w:t>空军军医大学基础医学院</w:t>
            </w:r>
          </w:p>
        </w:tc>
        <w:tc>
          <w:tcPr>
            <w:tcW w:w="1078"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邮政编码</w:t>
            </w:r>
          </w:p>
        </w:tc>
        <w:tc>
          <w:tcPr>
            <w:tcW w:w="1642"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工作单位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行政职务</w:t>
            </w:r>
          </w:p>
        </w:tc>
        <w:tc>
          <w:tcPr>
            <w:tcW w:w="1642"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二级单位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基础医学院细胞生物学教研室</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党    派</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完成单位</w:t>
            </w:r>
          </w:p>
        </w:tc>
        <w:tc>
          <w:tcPr>
            <w:tcW w:w="5402" w:type="dxa"/>
            <w:gridSpan w:val="6"/>
            <w:vMerge w:val="restart"/>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 在 地</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3"/>
              <w:spacing w:line="390" w:lineRule="exact"/>
              <w:ind w:firstLine="0" w:firstLineChars="0"/>
              <w:jc w:val="center"/>
              <w:rPr>
                <w:rFonts w:ascii="Times New Roman"/>
                <w:color w:val="000000"/>
                <w:sz w:val="21"/>
                <w:szCs w:val="21"/>
              </w:rPr>
            </w:pPr>
          </w:p>
        </w:tc>
        <w:tc>
          <w:tcPr>
            <w:tcW w:w="5402" w:type="dxa"/>
            <w:gridSpan w:val="6"/>
            <w:vMerge w:val="continue"/>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单位性质</w:t>
            </w:r>
          </w:p>
        </w:tc>
        <w:tc>
          <w:tcPr>
            <w:tcW w:w="1642" w:type="dxa"/>
            <w:vAlign w:val="center"/>
          </w:tcPr>
          <w:p>
            <w:pPr>
              <w:pStyle w:val="3"/>
              <w:spacing w:line="390" w:lineRule="exact"/>
              <w:ind w:firstLine="0" w:firstLineChars="0"/>
              <w:jc w:val="center"/>
              <w:rPr>
                <w:rFonts w:ascii="Times New Roman"/>
                <w:color w:val="000000"/>
                <w:sz w:val="21"/>
                <w:szCs w:val="21"/>
              </w:rPr>
            </w:pPr>
            <w:r>
              <w:rPr>
                <w:rFonts w:hint="eastAsia" w:ascii="Times New Roman"/>
                <w:color w:val="000000"/>
                <w:sz w:val="21"/>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参加本项目的起止时间</w:t>
            </w:r>
          </w:p>
        </w:tc>
        <w:tc>
          <w:tcPr>
            <w:tcW w:w="6835" w:type="dxa"/>
            <w:gridSpan w:val="7"/>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2006年05月</w:t>
            </w:r>
            <w:r>
              <w:rPr>
                <w:rFonts w:ascii="Times New Roman"/>
                <w:color w:val="000000"/>
                <w:sz w:val="21"/>
                <w:szCs w:val="21"/>
              </w:rPr>
              <w:t>至</w:t>
            </w:r>
            <w:r>
              <w:rPr>
                <w:rFonts w:ascii="Times New Roman"/>
                <w:color w:val="000000"/>
                <w:kern w:val="0"/>
                <w:sz w:val="21"/>
                <w:szCs w:val="21"/>
              </w:rPr>
              <w:t>2016年10月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9183" w:type="dxa"/>
            <w:gridSpan w:val="9"/>
          </w:tcPr>
          <w:p>
            <w:pPr>
              <w:pStyle w:val="3"/>
              <w:spacing w:line="390" w:lineRule="exact"/>
              <w:ind w:firstLine="0" w:firstLineChars="0"/>
              <w:rPr>
                <w:rFonts w:ascii="Times New Roman"/>
                <w:sz w:val="21"/>
                <w:szCs w:val="21"/>
              </w:rPr>
            </w:pPr>
            <w:r>
              <w:rPr>
                <w:rFonts w:ascii="Times New Roman"/>
                <w:sz w:val="21"/>
                <w:szCs w:val="21"/>
              </w:rPr>
              <w:t>对本项目主要学术贡献：</w:t>
            </w:r>
          </w:p>
          <w:p>
            <w:pPr>
              <w:pStyle w:val="3"/>
              <w:spacing w:line="240" w:lineRule="auto"/>
              <w:ind w:firstLine="525" w:firstLineChars="250"/>
              <w:rPr>
                <w:rFonts w:ascii="Times New Roman"/>
                <w:sz w:val="21"/>
                <w:szCs w:val="21"/>
              </w:rPr>
            </w:pPr>
            <w:r>
              <w:rPr>
                <w:rFonts w:ascii="Times New Roman"/>
                <w:sz w:val="21"/>
                <w:szCs w:val="21"/>
              </w:rPr>
              <w:t>对该项目“主要科学发现”中第2-4项做出了创新性贡献。首次系统阐明肝细胞中TGF-β1上调CD147，并通过β-catenin和MMP正反馈TGF-β1介导EMT和去分化， 促进肝癌发展。首次阐明了miR-22/Sp1/c-Myc调控CD147表达的分子机制。该研究阐明肝恶性肿瘤进展的重要信号通路和关键分子调控机制，为我们开展自主创新的肝恶性肿瘤新靶点大分子抗体药物的基础药理和临床转化研究提供了大分子抗体药物治疗的新思路、新方法。研究结果发表于JNCI</w:t>
            </w:r>
            <w:r>
              <w:rPr>
                <w:rFonts w:hint="eastAsia" w:ascii="Times New Roman"/>
                <w:sz w:val="21"/>
                <w:szCs w:val="21"/>
              </w:rPr>
              <w:t xml:space="preserve"> 2014（</w:t>
            </w:r>
            <w:r>
              <w:rPr>
                <w:rFonts w:ascii="Times New Roman"/>
                <w:sz w:val="21"/>
                <w:szCs w:val="21"/>
              </w:rPr>
              <w:t>IF</w:t>
            </w:r>
            <w:r>
              <w:rPr>
                <w:rFonts w:hint="eastAsia" w:ascii="Times New Roman"/>
                <w:sz w:val="21"/>
                <w:szCs w:val="21"/>
              </w:rPr>
              <w:t>：</w:t>
            </w:r>
            <w:r>
              <w:rPr>
                <w:rFonts w:ascii="Times New Roman"/>
                <w:color w:val="000000" w:themeColor="text1"/>
                <w:sz w:val="21"/>
                <w:szCs w:val="21"/>
              </w:rPr>
              <w:t>12.583</w:t>
            </w:r>
            <w:r>
              <w:rPr>
                <w:rFonts w:hint="eastAsia" w:ascii="Times New Roman"/>
                <w:sz w:val="21"/>
                <w:szCs w:val="21"/>
              </w:rPr>
              <w:t>）</w:t>
            </w:r>
            <w:r>
              <w:rPr>
                <w:rFonts w:ascii="Times New Roman"/>
                <w:color w:val="000000" w:themeColor="text1"/>
                <w:sz w:val="21"/>
                <w:szCs w:val="21"/>
              </w:rPr>
              <w:t>、Canc</w:t>
            </w:r>
            <w:r>
              <w:rPr>
                <w:rFonts w:ascii="Times New Roman"/>
                <w:sz w:val="21"/>
                <w:szCs w:val="21"/>
              </w:rPr>
              <w:t>er Res 2014</w:t>
            </w:r>
            <w:r>
              <w:rPr>
                <w:rFonts w:hint="eastAsia" w:ascii="Times New Roman"/>
                <w:sz w:val="21"/>
                <w:szCs w:val="21"/>
              </w:rPr>
              <w:t>（</w:t>
            </w:r>
            <w:r>
              <w:rPr>
                <w:rFonts w:ascii="Times New Roman"/>
                <w:sz w:val="21"/>
                <w:szCs w:val="21"/>
              </w:rPr>
              <w:t>IF</w:t>
            </w:r>
            <w:r>
              <w:rPr>
                <w:rFonts w:hint="eastAsia" w:ascii="Times New Roman"/>
                <w:sz w:val="21"/>
                <w:szCs w:val="21"/>
              </w:rPr>
              <w:t>：</w:t>
            </w:r>
            <w:r>
              <w:rPr>
                <w:rFonts w:ascii="Times New Roman"/>
                <w:sz w:val="21"/>
                <w:szCs w:val="21"/>
              </w:rPr>
              <w:t>9.329</w:t>
            </w:r>
            <w:r>
              <w:rPr>
                <w:rFonts w:hint="eastAsia" w:ascii="Times New Roman"/>
                <w:sz w:val="21"/>
                <w:szCs w:val="21"/>
              </w:rPr>
              <w:t>）</w:t>
            </w:r>
            <w:r>
              <w:rPr>
                <w:rFonts w:ascii="Times New Roman"/>
                <w:sz w:val="21"/>
                <w:szCs w:val="21"/>
              </w:rPr>
              <w:t>及Oncogene</w:t>
            </w:r>
            <w:r>
              <w:rPr>
                <w:rFonts w:hint="eastAsia" w:ascii="Times New Roman"/>
                <w:sz w:val="21"/>
                <w:szCs w:val="21"/>
              </w:rPr>
              <w:t xml:space="preserve"> 2016（</w:t>
            </w:r>
            <w:r>
              <w:rPr>
                <w:rFonts w:ascii="Times New Roman"/>
                <w:sz w:val="21"/>
                <w:szCs w:val="21"/>
              </w:rPr>
              <w:t>IF</w:t>
            </w:r>
            <w:r>
              <w:rPr>
                <w:rFonts w:hint="eastAsia" w:ascii="Times New Roman"/>
                <w:sz w:val="21"/>
                <w:szCs w:val="21"/>
              </w:rPr>
              <w:t>：</w:t>
            </w:r>
            <w:r>
              <w:rPr>
                <w:rFonts w:ascii="Times New Roman"/>
                <w:sz w:val="21"/>
                <w:szCs w:val="21"/>
              </w:rPr>
              <w:t>7.519</w:t>
            </w:r>
            <w:r>
              <w:rPr>
                <w:rFonts w:hint="eastAsia" w:ascii="Times New Roman"/>
                <w:sz w:val="21"/>
                <w:szCs w:val="21"/>
              </w:rPr>
              <w:t>）</w:t>
            </w:r>
            <w:r>
              <w:rPr>
                <w:rFonts w:ascii="Times New Roman"/>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8" w:hRule="atLeast"/>
          <w:jc w:val="center"/>
        </w:trPr>
        <w:tc>
          <w:tcPr>
            <w:tcW w:w="9183" w:type="dxa"/>
            <w:gridSpan w:val="9"/>
          </w:tcPr>
          <w:p>
            <w:pPr>
              <w:pStyle w:val="3"/>
              <w:spacing w:line="276" w:lineRule="auto"/>
              <w:ind w:firstLine="0" w:firstLineChars="0"/>
              <w:rPr>
                <w:rFonts w:ascii="Times New Roman"/>
                <w:color w:val="000000"/>
                <w:sz w:val="21"/>
                <w:szCs w:val="21"/>
              </w:rPr>
            </w:pPr>
            <w:r>
              <w:rPr>
                <w:rFonts w:ascii="Times New Roman"/>
                <w:color w:val="000000"/>
                <w:sz w:val="21"/>
                <w:szCs w:val="21"/>
              </w:rPr>
              <w:t>曾获陕西省科技奖励情况：</w:t>
            </w:r>
          </w:p>
          <w:p>
            <w:pPr>
              <w:pStyle w:val="3"/>
              <w:spacing w:line="276" w:lineRule="auto"/>
              <w:ind w:firstLine="0" w:firstLineChars="0"/>
              <w:rPr>
                <w:rFonts w:ascii="Times New Roman"/>
                <w:color w:val="000000"/>
                <w:sz w:val="21"/>
                <w:szCs w:val="21"/>
              </w:rPr>
            </w:pPr>
            <w:r>
              <w:rPr>
                <w:rFonts w:ascii="Times New Roman"/>
                <w:color w:val="000000"/>
                <w:sz w:val="21"/>
                <w:szCs w:val="21"/>
              </w:rPr>
              <w:t>2015年获陕西省科学技术一等奖（排名第一）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姓    名</w:t>
            </w:r>
          </w:p>
        </w:tc>
        <w:tc>
          <w:tcPr>
            <w:tcW w:w="1360"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邢金良</w:t>
            </w:r>
          </w:p>
        </w:tc>
        <w:tc>
          <w:tcPr>
            <w:tcW w:w="68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性别</w:t>
            </w:r>
          </w:p>
        </w:tc>
        <w:tc>
          <w:tcPr>
            <w:tcW w:w="5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男</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排    名</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第二</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国    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出生年月</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 生 地</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民    族</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身份证号</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归国人员</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sz w:val="21"/>
                <w:highlight w:val="black"/>
              </w:rPr>
              <w:t>□</w:t>
            </w:r>
            <w:r>
              <w:rPr>
                <w:rFonts w:ascii="Times New Roman"/>
                <w:sz w:val="21"/>
              </w:rPr>
              <w:t>是 □否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归国时间</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技术职称</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教授</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最高学历</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博士研究生</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毕业学校</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第四军医大学</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毕业时间</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所学专业</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细胞生物学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电子邮箱</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办公电话</w:t>
            </w:r>
          </w:p>
        </w:tc>
        <w:tc>
          <w:tcPr>
            <w:tcW w:w="1600" w:type="dxa"/>
            <w:vAlign w:val="center"/>
          </w:tcPr>
          <w:p>
            <w:pPr>
              <w:pStyle w:val="3"/>
              <w:spacing w:line="390" w:lineRule="exact"/>
              <w:ind w:firstLine="0" w:firstLineChars="0"/>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移动电话</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通讯地址</w:t>
            </w:r>
          </w:p>
        </w:tc>
        <w:tc>
          <w:tcPr>
            <w:tcW w:w="5402" w:type="dxa"/>
            <w:gridSpan w:val="6"/>
            <w:tcBorders>
              <w:bottom w:val="single" w:color="auto" w:sz="4" w:space="0"/>
            </w:tcBorders>
            <w:vAlign w:val="center"/>
          </w:tcPr>
          <w:p>
            <w:pPr>
              <w:widowControl/>
              <w:jc w:val="center"/>
              <w:rPr>
                <w:color w:val="000000"/>
                <w:szCs w:val="21"/>
              </w:rPr>
            </w:pPr>
            <w:r>
              <w:rPr>
                <w:color w:val="000000"/>
                <w:szCs w:val="21"/>
              </w:rPr>
              <w:t>陕西省西安市长乐西路169号</w:t>
            </w:r>
          </w:p>
          <w:p>
            <w:pPr>
              <w:widowControl/>
              <w:jc w:val="center"/>
              <w:rPr>
                <w:color w:val="000000"/>
                <w:szCs w:val="21"/>
              </w:rPr>
            </w:pPr>
            <w:r>
              <w:rPr>
                <w:color w:val="000000"/>
                <w:szCs w:val="21"/>
              </w:rPr>
              <w:t>空军军医大学基础医学院</w:t>
            </w:r>
          </w:p>
        </w:tc>
        <w:tc>
          <w:tcPr>
            <w:tcW w:w="1078"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邮政编码</w:t>
            </w:r>
          </w:p>
        </w:tc>
        <w:tc>
          <w:tcPr>
            <w:tcW w:w="1642"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工作单位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行政职务</w:t>
            </w:r>
          </w:p>
        </w:tc>
        <w:tc>
          <w:tcPr>
            <w:tcW w:w="1642"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二级单位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hint="eastAsia" w:ascii="Times New Roman"/>
                <w:color w:val="000000"/>
                <w:kern w:val="0"/>
                <w:sz w:val="21"/>
                <w:szCs w:val="21"/>
              </w:rPr>
              <w:t>基础医学院生理与病理生理学教研室</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党    派</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完成单位</w:t>
            </w:r>
          </w:p>
        </w:tc>
        <w:tc>
          <w:tcPr>
            <w:tcW w:w="5402" w:type="dxa"/>
            <w:gridSpan w:val="6"/>
            <w:vMerge w:val="restart"/>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 在 地</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3"/>
              <w:spacing w:line="390" w:lineRule="exact"/>
              <w:ind w:firstLine="0" w:firstLineChars="0"/>
              <w:jc w:val="center"/>
              <w:rPr>
                <w:rFonts w:ascii="Times New Roman"/>
                <w:color w:val="000000"/>
                <w:sz w:val="21"/>
                <w:szCs w:val="21"/>
              </w:rPr>
            </w:pPr>
          </w:p>
        </w:tc>
        <w:tc>
          <w:tcPr>
            <w:tcW w:w="5402" w:type="dxa"/>
            <w:gridSpan w:val="6"/>
            <w:vMerge w:val="continue"/>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单位性质</w:t>
            </w:r>
          </w:p>
        </w:tc>
        <w:tc>
          <w:tcPr>
            <w:tcW w:w="1642" w:type="dxa"/>
            <w:vAlign w:val="center"/>
          </w:tcPr>
          <w:p>
            <w:pPr>
              <w:pStyle w:val="3"/>
              <w:spacing w:line="390" w:lineRule="exact"/>
              <w:ind w:firstLine="0" w:firstLineChars="0"/>
              <w:jc w:val="center"/>
              <w:rPr>
                <w:rFonts w:ascii="Times New Roman"/>
                <w:color w:val="000000"/>
                <w:sz w:val="21"/>
                <w:szCs w:val="21"/>
              </w:rPr>
            </w:pPr>
            <w:r>
              <w:rPr>
                <w:rFonts w:hint="eastAsia" w:ascii="Times New Roman"/>
                <w:color w:val="000000"/>
                <w:sz w:val="21"/>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参加本项目的起止时间</w:t>
            </w:r>
          </w:p>
        </w:tc>
        <w:tc>
          <w:tcPr>
            <w:tcW w:w="6835" w:type="dxa"/>
            <w:gridSpan w:val="7"/>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2006年05月</w:t>
            </w:r>
            <w:r>
              <w:rPr>
                <w:rFonts w:ascii="Times New Roman"/>
                <w:color w:val="000000"/>
                <w:sz w:val="21"/>
                <w:szCs w:val="21"/>
              </w:rPr>
              <w:t>至</w:t>
            </w:r>
            <w:r>
              <w:rPr>
                <w:rFonts w:ascii="Times New Roman"/>
                <w:color w:val="000000"/>
                <w:kern w:val="0"/>
                <w:sz w:val="21"/>
                <w:szCs w:val="21"/>
              </w:rPr>
              <w:t>2016年10月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9183" w:type="dxa"/>
            <w:gridSpan w:val="9"/>
          </w:tcPr>
          <w:p>
            <w:pPr>
              <w:pStyle w:val="3"/>
              <w:spacing w:line="390" w:lineRule="exact"/>
              <w:ind w:firstLine="0" w:firstLineChars="0"/>
              <w:rPr>
                <w:rFonts w:ascii="Times New Roman"/>
                <w:color w:val="000000"/>
                <w:sz w:val="21"/>
                <w:szCs w:val="21"/>
              </w:rPr>
            </w:pPr>
            <w:r>
              <w:rPr>
                <w:rFonts w:ascii="Times New Roman"/>
                <w:color w:val="000000"/>
                <w:sz w:val="21"/>
                <w:szCs w:val="21"/>
              </w:rPr>
              <w:t>对本项目主要学术贡献：</w:t>
            </w:r>
          </w:p>
          <w:p>
            <w:pPr>
              <w:pStyle w:val="3"/>
              <w:spacing w:line="240" w:lineRule="auto"/>
              <w:ind w:firstLine="525" w:firstLineChars="250"/>
              <w:rPr>
                <w:rFonts w:ascii="Times New Roman"/>
                <w:b/>
                <w:bCs/>
                <w:color w:val="000000"/>
                <w:sz w:val="21"/>
                <w:szCs w:val="21"/>
              </w:rPr>
            </w:pPr>
            <w:r>
              <w:rPr>
                <w:rFonts w:ascii="Times New Roman"/>
                <w:sz w:val="21"/>
                <w:szCs w:val="21"/>
              </w:rPr>
              <w:t>对该项目“主要科学发现”中第1、3项做出了创新性贡献。首次系统阐明CD147→AKT/mTOR→SREBP1c肝癌细胞脂肪酸代谢通路。</w:t>
            </w:r>
            <w:r>
              <w:rPr>
                <w:rFonts w:hint="eastAsia" w:ascii="Times New Roman"/>
                <w:sz w:val="21"/>
                <w:szCs w:val="21"/>
              </w:rPr>
              <w:t>首次系统阐明CD147→PI3K/Akt→MDM2→P53→TIGAR和GLUT1肝癌细胞糖代谢重编程通路。</w:t>
            </w:r>
            <w:r>
              <w:rPr>
                <w:rFonts w:ascii="Times New Roman"/>
                <w:sz w:val="21"/>
                <w:szCs w:val="21"/>
              </w:rPr>
              <w:t>首次阐明了肝癌中CD147启动子低甲基化（-340~+37</w:t>
            </w:r>
            <w:r>
              <w:rPr>
                <w:rFonts w:hint="eastAsia" w:ascii="Times New Roman"/>
                <w:sz w:val="21"/>
                <w:szCs w:val="21"/>
              </w:rPr>
              <w:t>，</w:t>
            </w:r>
            <w:r>
              <w:rPr>
                <w:rFonts w:ascii="Times New Roman"/>
                <w:sz w:val="21"/>
                <w:szCs w:val="21"/>
              </w:rPr>
              <w:t>46CpG）提升S</w:t>
            </w:r>
            <w:r>
              <w:rPr>
                <w:rFonts w:hint="eastAsia" w:ascii="Times New Roman"/>
                <w:sz w:val="21"/>
                <w:szCs w:val="21"/>
              </w:rPr>
              <w:t>p</w:t>
            </w:r>
            <w:r>
              <w:rPr>
                <w:rFonts w:ascii="Times New Roman"/>
                <w:sz w:val="21"/>
                <w:szCs w:val="21"/>
              </w:rPr>
              <w:t>1结合位点活性，促进CD147高表达、与肝癌预后差相关。该研究揭示了肝癌细胞脂肪酸代谢新机制及肝癌中CD147的表达调控。研究结果发表于J Hepatol</w:t>
            </w:r>
            <w:r>
              <w:rPr>
                <w:rFonts w:hint="eastAsia" w:ascii="Times New Roman"/>
                <w:sz w:val="21"/>
                <w:szCs w:val="21"/>
              </w:rPr>
              <w:t xml:space="preserve"> 2014</w:t>
            </w:r>
            <w:r>
              <w:rPr>
                <w:rFonts w:ascii="Times New Roman"/>
                <w:sz w:val="21"/>
                <w:szCs w:val="21"/>
              </w:rPr>
              <w:t>（IF</w:t>
            </w:r>
            <w:r>
              <w:rPr>
                <w:rFonts w:hint="eastAsia" w:ascii="Times New Roman"/>
                <w:sz w:val="21"/>
                <w:szCs w:val="21"/>
              </w:rPr>
              <w:t>：11.336</w:t>
            </w:r>
            <w:r>
              <w:rPr>
                <w:rFonts w:ascii="Times New Roman"/>
                <w:sz w:val="21"/>
                <w:szCs w:val="21"/>
              </w:rPr>
              <w:t>）</w:t>
            </w:r>
            <w:r>
              <w:rPr>
                <w:rFonts w:hint="eastAsia" w:ascii="Times New Roman"/>
                <w:sz w:val="21"/>
                <w:szCs w:val="21"/>
              </w:rPr>
              <w:t>、</w:t>
            </w:r>
            <w:r>
              <w:rPr>
                <w:rFonts w:ascii="Times New Roman"/>
                <w:sz w:val="21"/>
                <w:szCs w:val="21"/>
              </w:rPr>
              <w:t>J Hepatol</w:t>
            </w:r>
            <w:r>
              <w:rPr>
                <w:rFonts w:hint="eastAsia" w:ascii="Times New Roman"/>
                <w:sz w:val="21"/>
                <w:szCs w:val="21"/>
              </w:rPr>
              <w:t xml:space="preserve"> 2015</w:t>
            </w:r>
            <w:r>
              <w:rPr>
                <w:rFonts w:ascii="Times New Roman"/>
                <w:sz w:val="21"/>
                <w:szCs w:val="21"/>
              </w:rPr>
              <w:t>（IF</w:t>
            </w:r>
            <w:r>
              <w:rPr>
                <w:rFonts w:hint="eastAsia" w:ascii="Times New Roman"/>
                <w:sz w:val="21"/>
                <w:szCs w:val="21"/>
              </w:rPr>
              <w:t>：</w:t>
            </w:r>
            <w:r>
              <w:rPr>
                <w:rFonts w:ascii="Times New Roman"/>
                <w:sz w:val="21"/>
                <w:szCs w:val="21"/>
              </w:rPr>
              <w:t>10.590）及J Cell Mol Med</w:t>
            </w:r>
            <w:r>
              <w:rPr>
                <w:rFonts w:hint="eastAsia" w:ascii="Times New Roman"/>
                <w:sz w:val="21"/>
                <w:szCs w:val="21"/>
              </w:rPr>
              <w:t xml:space="preserve"> 2011</w:t>
            </w:r>
            <w:r>
              <w:rPr>
                <w:rFonts w:ascii="Times New Roman"/>
                <w:sz w:val="21"/>
                <w:szCs w:val="21"/>
              </w:rPr>
              <w:t>（IF: 4.608）。</w:t>
            </w:r>
          </w:p>
          <w:p>
            <w:pPr>
              <w:pStyle w:val="3"/>
              <w:spacing w:line="240" w:lineRule="auto"/>
              <w:ind w:firstLine="527" w:firstLineChars="250"/>
              <w:rPr>
                <w:rFonts w:ascii="Times New Roman"/>
                <w:b/>
                <w:bCs/>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96" w:hRule="atLeast"/>
          <w:jc w:val="center"/>
        </w:trPr>
        <w:tc>
          <w:tcPr>
            <w:tcW w:w="9183" w:type="dxa"/>
            <w:gridSpan w:val="9"/>
          </w:tcPr>
          <w:p>
            <w:pPr>
              <w:pStyle w:val="3"/>
              <w:tabs>
                <w:tab w:val="left" w:pos="3331"/>
              </w:tabs>
              <w:spacing w:line="276" w:lineRule="auto"/>
              <w:ind w:firstLine="0" w:firstLineChars="0"/>
              <w:rPr>
                <w:rFonts w:ascii="Times New Roman"/>
                <w:color w:val="000000"/>
                <w:sz w:val="21"/>
                <w:szCs w:val="21"/>
              </w:rPr>
            </w:pPr>
            <w:r>
              <w:rPr>
                <w:rFonts w:ascii="Times New Roman"/>
                <w:color w:val="000000"/>
                <w:sz w:val="21"/>
                <w:szCs w:val="21"/>
              </w:rPr>
              <w:t>曾获陕西省科技奖励情况：</w:t>
            </w:r>
            <w:r>
              <w:rPr>
                <w:rFonts w:hint="eastAsia" w:ascii="Times New Roman"/>
                <w:color w:val="000000"/>
                <w:sz w:val="21"/>
                <w:szCs w:val="21"/>
              </w:rPr>
              <w:t>无</w:t>
            </w:r>
          </w:p>
          <w:p>
            <w:pPr>
              <w:pStyle w:val="3"/>
              <w:ind w:firstLine="420"/>
              <w:rPr>
                <w:rFonts w:ascii="Times New Roman"/>
                <w:color w:val="000000"/>
                <w:sz w:val="21"/>
                <w:szCs w:val="21"/>
              </w:rPr>
            </w:pPr>
          </w:p>
          <w:p>
            <w:pPr>
              <w:pStyle w:val="3"/>
              <w:ind w:firstLine="420"/>
              <w:rPr>
                <w:rFonts w:ascii="Times New Roman"/>
                <w:color w:val="000000"/>
                <w:sz w:val="21"/>
                <w:szCs w:val="21"/>
              </w:rPr>
            </w:pPr>
          </w:p>
          <w:p>
            <w:pPr>
              <w:pStyle w:val="3"/>
              <w:ind w:firstLine="420"/>
              <w:rPr>
                <w:rFonts w:ascii="Times New Roman"/>
                <w:color w:val="000000"/>
                <w:sz w:val="21"/>
                <w:szCs w:val="21"/>
              </w:rPr>
            </w:pPr>
          </w:p>
          <w:p>
            <w:pPr>
              <w:pStyle w:val="3"/>
              <w:ind w:firstLine="420"/>
              <w:rPr>
                <w:rFonts w:ascii="Times New Roman"/>
                <w:color w:val="000000"/>
                <w:sz w:val="21"/>
                <w:szCs w:val="21"/>
              </w:rPr>
            </w:pPr>
          </w:p>
          <w:p>
            <w:pPr>
              <w:pStyle w:val="3"/>
              <w:ind w:firstLine="420"/>
              <w:rPr>
                <w:rFonts w:ascii="Times New Roman"/>
                <w:color w:val="000000"/>
                <w:sz w:val="21"/>
                <w:szCs w:val="21"/>
              </w:rPr>
            </w:pPr>
          </w:p>
          <w:p>
            <w:pPr>
              <w:pStyle w:val="3"/>
              <w:ind w:firstLine="420"/>
              <w:rPr>
                <w:rFonts w:ascii="Times New Roman"/>
                <w:color w:val="000000"/>
                <w:sz w:val="21"/>
                <w:szCs w:val="21"/>
              </w:rPr>
            </w:pPr>
          </w:p>
          <w:p>
            <w:pPr>
              <w:pStyle w:val="3"/>
              <w:ind w:firstLine="420"/>
              <w:rPr>
                <w:rFonts w:ascii="Times New Roman"/>
                <w:color w:val="000000"/>
                <w:sz w:val="21"/>
                <w:szCs w:val="21"/>
              </w:rPr>
            </w:pPr>
          </w:p>
          <w:p>
            <w:pPr>
              <w:pStyle w:val="3"/>
              <w:ind w:firstLine="420"/>
              <w:rPr>
                <w:rFonts w:ascii="Times New Roman"/>
                <w:color w:val="000000"/>
                <w:sz w:val="21"/>
                <w:szCs w:val="21"/>
              </w:rPr>
            </w:pPr>
          </w:p>
          <w:p>
            <w:pPr>
              <w:pStyle w:val="3"/>
              <w:ind w:firstLine="420"/>
              <w:rPr>
                <w:rFonts w:ascii="Times New Roman"/>
                <w:color w:val="000000"/>
                <w:sz w:val="21"/>
                <w:szCs w:val="21"/>
              </w:rPr>
            </w:pPr>
          </w:p>
          <w:p>
            <w:pPr>
              <w:pStyle w:val="3"/>
              <w:ind w:firstLine="420"/>
              <w:rPr>
                <w:rFonts w:ascii="Times New Roman"/>
                <w:color w:val="000000"/>
                <w:sz w:val="21"/>
                <w:szCs w:val="21"/>
              </w:rPr>
            </w:pPr>
          </w:p>
          <w:p>
            <w:pPr>
              <w:pStyle w:val="3"/>
              <w:ind w:firstLine="420"/>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themeColor="text1"/>
                <w:sz w:val="21"/>
                <w:szCs w:val="21"/>
              </w:rPr>
            </w:pPr>
            <w:r>
              <w:rPr>
                <w:rFonts w:ascii="Times New Roman"/>
                <w:color w:val="000000" w:themeColor="text1"/>
                <w:sz w:val="21"/>
                <w:szCs w:val="21"/>
              </w:rPr>
              <w:t>姓    名</w:t>
            </w:r>
          </w:p>
        </w:tc>
        <w:tc>
          <w:tcPr>
            <w:tcW w:w="1360" w:type="dxa"/>
            <w:gridSpan w:val="2"/>
            <w:vAlign w:val="center"/>
          </w:tcPr>
          <w:p>
            <w:pPr>
              <w:pStyle w:val="3"/>
              <w:spacing w:line="390" w:lineRule="exact"/>
              <w:ind w:firstLine="0" w:firstLineChars="0"/>
              <w:jc w:val="center"/>
              <w:rPr>
                <w:rFonts w:ascii="Times New Roman"/>
                <w:color w:val="000000" w:themeColor="text1"/>
                <w:sz w:val="21"/>
                <w:szCs w:val="21"/>
              </w:rPr>
            </w:pPr>
            <w:r>
              <w:rPr>
                <w:rFonts w:ascii="Times New Roman"/>
                <w:color w:val="000000" w:themeColor="text1"/>
                <w:sz w:val="21"/>
                <w:szCs w:val="21"/>
              </w:rPr>
              <w:t>陈志南</w:t>
            </w:r>
          </w:p>
        </w:tc>
        <w:tc>
          <w:tcPr>
            <w:tcW w:w="680" w:type="dxa"/>
            <w:vAlign w:val="center"/>
          </w:tcPr>
          <w:p>
            <w:pPr>
              <w:pStyle w:val="3"/>
              <w:spacing w:line="390" w:lineRule="exact"/>
              <w:ind w:firstLine="0" w:firstLineChars="0"/>
              <w:jc w:val="center"/>
              <w:rPr>
                <w:rFonts w:ascii="Times New Roman"/>
                <w:color w:val="000000" w:themeColor="text1"/>
                <w:sz w:val="21"/>
                <w:szCs w:val="21"/>
              </w:rPr>
            </w:pPr>
            <w:r>
              <w:rPr>
                <w:rFonts w:ascii="Times New Roman"/>
                <w:color w:val="000000" w:themeColor="text1"/>
                <w:sz w:val="21"/>
                <w:szCs w:val="21"/>
              </w:rPr>
              <w:t>性别</w:t>
            </w:r>
          </w:p>
        </w:tc>
        <w:tc>
          <w:tcPr>
            <w:tcW w:w="561" w:type="dxa"/>
            <w:vAlign w:val="center"/>
          </w:tcPr>
          <w:p>
            <w:pPr>
              <w:pStyle w:val="3"/>
              <w:spacing w:line="390" w:lineRule="exact"/>
              <w:ind w:firstLine="0" w:firstLineChars="0"/>
              <w:jc w:val="center"/>
              <w:rPr>
                <w:rFonts w:ascii="Times New Roman"/>
                <w:color w:val="000000" w:themeColor="text1"/>
                <w:sz w:val="21"/>
                <w:szCs w:val="21"/>
              </w:rPr>
            </w:pPr>
            <w:r>
              <w:rPr>
                <w:rFonts w:ascii="Times New Roman"/>
                <w:color w:val="000000" w:themeColor="text1"/>
                <w:sz w:val="21"/>
                <w:szCs w:val="21"/>
              </w:rPr>
              <w:t>男</w:t>
            </w:r>
          </w:p>
        </w:tc>
        <w:tc>
          <w:tcPr>
            <w:tcW w:w="1201" w:type="dxa"/>
            <w:vAlign w:val="center"/>
          </w:tcPr>
          <w:p>
            <w:pPr>
              <w:pStyle w:val="3"/>
              <w:spacing w:line="390" w:lineRule="exact"/>
              <w:ind w:firstLine="0" w:firstLineChars="0"/>
              <w:jc w:val="center"/>
              <w:rPr>
                <w:rFonts w:ascii="Times New Roman"/>
                <w:color w:val="000000" w:themeColor="text1"/>
                <w:sz w:val="21"/>
                <w:szCs w:val="21"/>
              </w:rPr>
            </w:pPr>
            <w:r>
              <w:rPr>
                <w:rFonts w:ascii="Times New Roman"/>
                <w:color w:val="000000" w:themeColor="text1"/>
                <w:sz w:val="21"/>
                <w:szCs w:val="21"/>
              </w:rPr>
              <w:t>排    名</w:t>
            </w:r>
          </w:p>
        </w:tc>
        <w:tc>
          <w:tcPr>
            <w:tcW w:w="1600" w:type="dxa"/>
            <w:vAlign w:val="center"/>
          </w:tcPr>
          <w:p>
            <w:pPr>
              <w:pStyle w:val="3"/>
              <w:spacing w:line="390" w:lineRule="exact"/>
              <w:ind w:firstLine="0" w:firstLineChars="0"/>
              <w:jc w:val="center"/>
              <w:rPr>
                <w:rFonts w:ascii="Times New Roman"/>
                <w:color w:val="000000" w:themeColor="text1"/>
                <w:sz w:val="21"/>
                <w:szCs w:val="21"/>
              </w:rPr>
            </w:pPr>
            <w:r>
              <w:rPr>
                <w:rFonts w:ascii="Times New Roman"/>
                <w:color w:val="000000" w:themeColor="text1"/>
                <w:sz w:val="21"/>
                <w:szCs w:val="21"/>
              </w:rPr>
              <w:t>第三</w:t>
            </w:r>
          </w:p>
        </w:tc>
        <w:tc>
          <w:tcPr>
            <w:tcW w:w="1078" w:type="dxa"/>
            <w:vAlign w:val="center"/>
          </w:tcPr>
          <w:p>
            <w:pPr>
              <w:pStyle w:val="3"/>
              <w:spacing w:line="390" w:lineRule="exact"/>
              <w:ind w:firstLine="0" w:firstLineChars="0"/>
              <w:jc w:val="center"/>
              <w:rPr>
                <w:rFonts w:ascii="Times New Roman"/>
                <w:color w:val="000000" w:themeColor="text1"/>
                <w:sz w:val="21"/>
                <w:szCs w:val="21"/>
              </w:rPr>
            </w:pPr>
            <w:r>
              <w:rPr>
                <w:rFonts w:ascii="Times New Roman"/>
                <w:color w:val="000000" w:themeColor="text1"/>
                <w:sz w:val="21"/>
                <w:szCs w:val="21"/>
              </w:rPr>
              <w:t>国    籍</w:t>
            </w:r>
          </w:p>
        </w:tc>
        <w:tc>
          <w:tcPr>
            <w:tcW w:w="1642" w:type="dxa"/>
            <w:vAlign w:val="center"/>
          </w:tcPr>
          <w:p>
            <w:pPr>
              <w:pStyle w:val="3"/>
              <w:spacing w:line="390" w:lineRule="exact"/>
              <w:ind w:firstLine="0" w:firstLineChars="0"/>
              <w:jc w:val="center"/>
              <w:rPr>
                <w:rFonts w:ascii="Times New Roman"/>
                <w:color w:val="000000" w:themeColor="text1"/>
                <w:sz w:val="21"/>
                <w:szCs w:val="21"/>
              </w:rPr>
            </w:pPr>
            <w:r>
              <w:rPr>
                <w:rFonts w:ascii="Times New Roman"/>
                <w:color w:val="000000" w:themeColor="text1"/>
                <w:sz w:val="21"/>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出生年月</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 生 地</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民    族</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身份证号</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归国人员</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sz w:val="21"/>
                <w:highlight w:val="black"/>
              </w:rPr>
              <w:t>□</w:t>
            </w:r>
            <w:r>
              <w:rPr>
                <w:rFonts w:ascii="Times New Roman"/>
                <w:sz w:val="21"/>
              </w:rPr>
              <w:t>是 □否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归国时间</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技术职称</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教授</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最高学历</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博士研究生</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毕业学校</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第四军医大学</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毕业时间</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所学专业</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细胞生物学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电子邮箱</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办公电话</w:t>
            </w:r>
          </w:p>
        </w:tc>
        <w:tc>
          <w:tcPr>
            <w:tcW w:w="1600" w:type="dxa"/>
            <w:vAlign w:val="center"/>
          </w:tcPr>
          <w:p>
            <w:pPr>
              <w:pStyle w:val="3"/>
              <w:spacing w:line="390" w:lineRule="exact"/>
              <w:ind w:firstLine="0" w:firstLineChars="0"/>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移动电话</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通讯地址</w:t>
            </w:r>
          </w:p>
        </w:tc>
        <w:tc>
          <w:tcPr>
            <w:tcW w:w="5402" w:type="dxa"/>
            <w:gridSpan w:val="6"/>
            <w:tcBorders>
              <w:bottom w:val="single" w:color="auto" w:sz="4" w:space="0"/>
            </w:tcBorders>
            <w:vAlign w:val="center"/>
          </w:tcPr>
          <w:p>
            <w:pPr>
              <w:widowControl/>
              <w:jc w:val="center"/>
              <w:rPr>
                <w:color w:val="000000"/>
                <w:szCs w:val="21"/>
              </w:rPr>
            </w:pPr>
            <w:r>
              <w:rPr>
                <w:color w:val="000000"/>
                <w:szCs w:val="21"/>
              </w:rPr>
              <w:t>陕西省西安市长乐西路169号</w:t>
            </w:r>
          </w:p>
          <w:p>
            <w:pPr>
              <w:widowControl/>
              <w:jc w:val="center"/>
              <w:rPr>
                <w:color w:val="000000"/>
                <w:szCs w:val="21"/>
              </w:rPr>
            </w:pPr>
            <w:r>
              <w:rPr>
                <w:color w:val="000000"/>
                <w:szCs w:val="21"/>
              </w:rPr>
              <w:t>空军军医大学基础医学院</w:t>
            </w:r>
          </w:p>
        </w:tc>
        <w:tc>
          <w:tcPr>
            <w:tcW w:w="1078"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邮政编码</w:t>
            </w:r>
          </w:p>
        </w:tc>
        <w:tc>
          <w:tcPr>
            <w:tcW w:w="1642"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工作单位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行政职务</w:t>
            </w:r>
          </w:p>
        </w:tc>
        <w:tc>
          <w:tcPr>
            <w:tcW w:w="1642"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二级单位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hint="eastAsia" w:ascii="Times New Roman"/>
                <w:color w:val="000000"/>
                <w:kern w:val="0"/>
                <w:sz w:val="21"/>
                <w:szCs w:val="21"/>
              </w:rPr>
              <w:t>国家分子医学转化中心</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党    派</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完成单位</w:t>
            </w:r>
          </w:p>
        </w:tc>
        <w:tc>
          <w:tcPr>
            <w:tcW w:w="5402" w:type="dxa"/>
            <w:gridSpan w:val="6"/>
            <w:vMerge w:val="restart"/>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 在 地</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3"/>
              <w:spacing w:line="390" w:lineRule="exact"/>
              <w:ind w:firstLine="0" w:firstLineChars="0"/>
              <w:jc w:val="center"/>
              <w:rPr>
                <w:rFonts w:ascii="Times New Roman"/>
                <w:color w:val="000000"/>
                <w:sz w:val="21"/>
                <w:szCs w:val="21"/>
              </w:rPr>
            </w:pPr>
          </w:p>
        </w:tc>
        <w:tc>
          <w:tcPr>
            <w:tcW w:w="5402" w:type="dxa"/>
            <w:gridSpan w:val="6"/>
            <w:vMerge w:val="continue"/>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单位性质</w:t>
            </w:r>
          </w:p>
        </w:tc>
        <w:tc>
          <w:tcPr>
            <w:tcW w:w="1642" w:type="dxa"/>
            <w:vAlign w:val="center"/>
          </w:tcPr>
          <w:p>
            <w:pPr>
              <w:pStyle w:val="3"/>
              <w:spacing w:line="390" w:lineRule="exact"/>
              <w:ind w:firstLine="0" w:firstLineChars="0"/>
              <w:jc w:val="center"/>
              <w:rPr>
                <w:rFonts w:ascii="Times New Roman"/>
                <w:color w:val="000000"/>
                <w:sz w:val="21"/>
                <w:szCs w:val="21"/>
              </w:rPr>
            </w:pPr>
            <w:r>
              <w:rPr>
                <w:rFonts w:hint="eastAsia" w:ascii="Times New Roman"/>
                <w:color w:val="000000"/>
                <w:sz w:val="21"/>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参加本项目的起止时间</w:t>
            </w:r>
          </w:p>
        </w:tc>
        <w:tc>
          <w:tcPr>
            <w:tcW w:w="6835" w:type="dxa"/>
            <w:gridSpan w:val="7"/>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2006年05月</w:t>
            </w:r>
            <w:r>
              <w:rPr>
                <w:rFonts w:ascii="Times New Roman"/>
                <w:color w:val="000000"/>
                <w:sz w:val="21"/>
                <w:szCs w:val="21"/>
              </w:rPr>
              <w:t>至</w:t>
            </w:r>
            <w:r>
              <w:rPr>
                <w:rFonts w:ascii="Times New Roman"/>
                <w:color w:val="000000"/>
                <w:kern w:val="0"/>
                <w:sz w:val="21"/>
                <w:szCs w:val="21"/>
              </w:rPr>
              <w:t>2016年10月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9183" w:type="dxa"/>
            <w:gridSpan w:val="9"/>
          </w:tcPr>
          <w:p>
            <w:pPr>
              <w:pStyle w:val="3"/>
              <w:spacing w:line="390" w:lineRule="exact"/>
              <w:ind w:firstLine="0" w:firstLineChars="0"/>
              <w:rPr>
                <w:rFonts w:ascii="Times New Roman"/>
                <w:color w:val="000000"/>
                <w:sz w:val="21"/>
                <w:szCs w:val="21"/>
              </w:rPr>
            </w:pPr>
            <w:r>
              <w:rPr>
                <w:rFonts w:ascii="Times New Roman"/>
                <w:color w:val="000000"/>
                <w:sz w:val="21"/>
                <w:szCs w:val="21"/>
              </w:rPr>
              <w:t>对本项目主要学术贡献：</w:t>
            </w:r>
          </w:p>
          <w:p>
            <w:pPr>
              <w:pStyle w:val="3"/>
              <w:spacing w:line="240" w:lineRule="auto"/>
              <w:ind w:firstLine="525" w:firstLineChars="250"/>
              <w:rPr>
                <w:rFonts w:ascii="Times New Roman"/>
                <w:color w:val="000000"/>
                <w:sz w:val="21"/>
                <w:szCs w:val="21"/>
              </w:rPr>
            </w:pPr>
            <w:r>
              <w:rPr>
                <w:rFonts w:ascii="Times New Roman"/>
                <w:sz w:val="21"/>
                <w:szCs w:val="21"/>
              </w:rPr>
              <w:t>对该项目“主要科学发现”中第1-4项做出了创新型贡献。主要贡献是实现了CD147靶点抗肝、肺恶性肿瘤抗体药物的临床转化：（1）成功研发自主知识产权的CD147靶点人源化美妥珠单抗注射液，经糖基化改造，具有增强的ADCC效应。（2）揭示美妥珠单抗通过靶向CD147，调节FAK-PI3K-Akt-Girdin信号通路，影响细胞骨架重排，抑制HCC运动。（3）建立了CD147靶点抗体药物</w:t>
            </w:r>
            <w:r>
              <w:rPr>
                <w:rFonts w:hint="eastAsia" w:ascii="Times New Roman"/>
                <w:sz w:val="21"/>
                <w:szCs w:val="21"/>
              </w:rPr>
              <w:t>美妥昔</w:t>
            </w:r>
            <w:r>
              <w:rPr>
                <w:rFonts w:ascii="Times New Roman"/>
                <w:sz w:val="21"/>
                <w:szCs w:val="21"/>
              </w:rPr>
              <w:t>联合</w:t>
            </w:r>
            <w:r>
              <w:rPr>
                <w:rFonts w:hint="eastAsia" w:ascii="Times New Roman"/>
                <w:sz w:val="21"/>
                <w:szCs w:val="21"/>
              </w:rPr>
              <w:t>RFA</w:t>
            </w:r>
            <w:r>
              <w:rPr>
                <w:rFonts w:ascii="Times New Roman"/>
                <w:sz w:val="21"/>
                <w:szCs w:val="21"/>
              </w:rPr>
              <w:t xml:space="preserve">抗肝癌复发临床方案，疗效显著。论文发表于JNCI </w:t>
            </w:r>
            <w:r>
              <w:rPr>
                <w:rFonts w:hint="eastAsia" w:ascii="Times New Roman"/>
                <w:sz w:val="21"/>
                <w:szCs w:val="21"/>
              </w:rPr>
              <w:t>2014（</w:t>
            </w:r>
            <w:r>
              <w:rPr>
                <w:rFonts w:ascii="Times New Roman"/>
                <w:sz w:val="21"/>
                <w:szCs w:val="21"/>
              </w:rPr>
              <w:t>IF</w:t>
            </w:r>
            <w:r>
              <w:rPr>
                <w:rFonts w:hint="eastAsia" w:ascii="Times New Roman"/>
                <w:sz w:val="21"/>
                <w:szCs w:val="21"/>
              </w:rPr>
              <w:t>：</w:t>
            </w:r>
            <w:r>
              <w:rPr>
                <w:rFonts w:ascii="Times New Roman"/>
                <w:sz w:val="21"/>
                <w:szCs w:val="21"/>
              </w:rPr>
              <w:t>12.583</w:t>
            </w:r>
            <w:r>
              <w:rPr>
                <w:rFonts w:hint="eastAsia" w:ascii="Times New Roman"/>
                <w:sz w:val="21"/>
                <w:szCs w:val="21"/>
              </w:rPr>
              <w:t>）</w:t>
            </w:r>
            <w:r>
              <w:rPr>
                <w:rFonts w:ascii="Times New Roman"/>
                <w:sz w:val="21"/>
                <w:szCs w:val="21"/>
              </w:rPr>
              <w:t>、J Hepatol</w:t>
            </w:r>
            <w:r>
              <w:rPr>
                <w:rFonts w:hint="eastAsia" w:ascii="Times New Roman"/>
                <w:sz w:val="21"/>
                <w:szCs w:val="21"/>
              </w:rPr>
              <w:t xml:space="preserve"> </w:t>
            </w:r>
            <w:r>
              <w:rPr>
                <w:rFonts w:ascii="Times New Roman"/>
                <w:sz w:val="21"/>
                <w:szCs w:val="21"/>
              </w:rPr>
              <w:t>2014（IF</w:t>
            </w:r>
            <w:r>
              <w:rPr>
                <w:rFonts w:hint="eastAsia" w:ascii="Times New Roman"/>
                <w:sz w:val="21"/>
                <w:szCs w:val="21"/>
              </w:rPr>
              <w:t>：</w:t>
            </w:r>
            <w:r>
              <w:rPr>
                <w:rFonts w:ascii="Times New Roman"/>
                <w:sz w:val="21"/>
                <w:szCs w:val="21"/>
              </w:rPr>
              <w:t>11.336</w:t>
            </w:r>
            <w:r>
              <w:rPr>
                <w:rFonts w:ascii="Times New Roman"/>
                <w:szCs w:val="21"/>
              </w:rPr>
              <w:t>）</w:t>
            </w:r>
            <w:r>
              <w:rPr>
                <w:rFonts w:ascii="Times New Roman"/>
                <w:sz w:val="21"/>
                <w:szCs w:val="21"/>
              </w:rPr>
              <w:t>、Cancer Res 2014</w:t>
            </w:r>
            <w:r>
              <w:rPr>
                <w:rFonts w:hint="eastAsia" w:ascii="Times New Roman"/>
                <w:sz w:val="21"/>
                <w:szCs w:val="21"/>
              </w:rPr>
              <w:t>（</w:t>
            </w:r>
            <w:r>
              <w:rPr>
                <w:rFonts w:ascii="Times New Roman"/>
                <w:sz w:val="21"/>
                <w:szCs w:val="21"/>
              </w:rPr>
              <w:t>IF</w:t>
            </w:r>
            <w:r>
              <w:rPr>
                <w:rFonts w:hint="eastAsia" w:ascii="Times New Roman"/>
                <w:sz w:val="21"/>
                <w:szCs w:val="21"/>
              </w:rPr>
              <w:t>：</w:t>
            </w:r>
            <w:r>
              <w:rPr>
                <w:rFonts w:ascii="Times New Roman"/>
                <w:sz w:val="21"/>
                <w:szCs w:val="21"/>
              </w:rPr>
              <w:t>9.329</w:t>
            </w:r>
            <w:r>
              <w:rPr>
                <w:rFonts w:hint="eastAsia" w:ascii="Times New Roman"/>
                <w:sz w:val="21"/>
                <w:szCs w:val="21"/>
              </w:rPr>
              <w:t>）</w:t>
            </w:r>
            <w:r>
              <w:rPr>
                <w:rFonts w:ascii="Times New Roman"/>
                <w:sz w:val="21"/>
                <w:szCs w:val="21"/>
              </w:rPr>
              <w:t>、Oncogene</w:t>
            </w:r>
            <w:r>
              <w:rPr>
                <w:rFonts w:hint="eastAsia" w:ascii="Times New Roman"/>
                <w:sz w:val="21"/>
                <w:szCs w:val="21"/>
              </w:rPr>
              <w:t xml:space="preserve"> 2016（</w:t>
            </w:r>
            <w:r>
              <w:rPr>
                <w:rFonts w:ascii="Times New Roman"/>
                <w:sz w:val="21"/>
                <w:szCs w:val="21"/>
              </w:rPr>
              <w:t>IF</w:t>
            </w:r>
            <w:r>
              <w:rPr>
                <w:rFonts w:hint="eastAsia" w:ascii="Times New Roman"/>
                <w:sz w:val="21"/>
                <w:szCs w:val="21"/>
              </w:rPr>
              <w:t>：</w:t>
            </w:r>
            <w:r>
              <w:rPr>
                <w:rFonts w:ascii="Times New Roman"/>
                <w:sz w:val="21"/>
                <w:szCs w:val="21"/>
              </w:rPr>
              <w:t>7.519</w:t>
            </w:r>
            <w:r>
              <w:rPr>
                <w:rFonts w:hint="eastAsia" w:ascii="Times New Roman"/>
                <w:sz w:val="21"/>
                <w:szCs w:val="21"/>
              </w:rPr>
              <w:t>）</w:t>
            </w:r>
            <w:r>
              <w:rPr>
                <w:rFonts w:ascii="Times New Roman"/>
                <w:sz w:val="21"/>
                <w:szCs w:val="21"/>
              </w:rPr>
              <w:t>、Mol Cancer Ther</w:t>
            </w:r>
            <w:r>
              <w:rPr>
                <w:rFonts w:hint="eastAsia" w:ascii="Times New Roman"/>
                <w:sz w:val="21"/>
                <w:szCs w:val="21"/>
              </w:rPr>
              <w:t xml:space="preserve"> 2015</w:t>
            </w:r>
            <w:r>
              <w:rPr>
                <w:rFonts w:ascii="Times New Roman"/>
                <w:sz w:val="21"/>
                <w:szCs w:val="21"/>
              </w:rPr>
              <w:t>（IF</w:t>
            </w:r>
            <w:r>
              <w:rPr>
                <w:rFonts w:hint="eastAsia" w:ascii="Times New Roman"/>
                <w:sz w:val="21"/>
                <w:szCs w:val="21"/>
              </w:rPr>
              <w:t>：</w:t>
            </w:r>
            <w:r>
              <w:rPr>
                <w:rFonts w:ascii="Times New Roman"/>
                <w:sz w:val="21"/>
                <w:szCs w:val="21"/>
              </w:rPr>
              <w:t>5.579）、J Biol Chem</w:t>
            </w:r>
            <w:r>
              <w:rPr>
                <w:rFonts w:hint="eastAsia" w:ascii="Times New Roman"/>
                <w:sz w:val="21"/>
                <w:szCs w:val="21"/>
              </w:rPr>
              <w:t xml:space="preserve"> 2012</w:t>
            </w:r>
            <w:r>
              <w:rPr>
                <w:rFonts w:ascii="Times New Roman"/>
                <w:sz w:val="21"/>
                <w:szCs w:val="21"/>
              </w:rPr>
              <w:t>（IF</w:t>
            </w:r>
            <w:r>
              <w:rPr>
                <w:rFonts w:hint="eastAsia" w:ascii="Times New Roman"/>
                <w:sz w:val="21"/>
                <w:szCs w:val="21"/>
              </w:rPr>
              <w:t>：</w:t>
            </w:r>
            <w:r>
              <w:rPr>
                <w:rFonts w:ascii="Times New Roman"/>
                <w:sz w:val="21"/>
                <w:szCs w:val="21"/>
              </w:rPr>
              <w:t>4.773</w:t>
            </w:r>
            <w:r>
              <w:rPr>
                <w:rFonts w:hint="eastAsia" w:ascii="Times New Roman"/>
                <w:sz w:val="21"/>
                <w:szCs w:val="21"/>
              </w:rPr>
              <w:t>）</w:t>
            </w:r>
            <w:r>
              <w:rPr>
                <w:rFonts w:ascii="Times New Roman"/>
                <w:sz w:val="21"/>
                <w:szCs w:val="21"/>
              </w:rPr>
              <w:t>、J Cell Mol Med 2011（IF</w:t>
            </w:r>
            <w:r>
              <w:rPr>
                <w:rFonts w:hint="eastAsia" w:ascii="Times New Roman"/>
                <w:sz w:val="21"/>
                <w:szCs w:val="21"/>
              </w:rPr>
              <w:t>：</w:t>
            </w:r>
            <w:r>
              <w:rPr>
                <w:rFonts w:ascii="Times New Roman"/>
                <w:sz w:val="21"/>
                <w:szCs w:val="21"/>
              </w:rPr>
              <w:t>4.608）。</w:t>
            </w:r>
            <w:r>
              <w:rPr>
                <w:rFonts w:ascii="Times New Roman"/>
                <w:color w:val="000000"/>
                <w:sz w:val="21"/>
                <w:szCs w:val="21"/>
              </w:rPr>
              <w:tab/>
            </w:r>
          </w:p>
          <w:p>
            <w:pPr>
              <w:pStyle w:val="3"/>
              <w:spacing w:line="240" w:lineRule="auto"/>
              <w:ind w:firstLine="527" w:firstLineChars="250"/>
              <w:rPr>
                <w:rFonts w:ascii="Times New Roman"/>
                <w:b/>
                <w:bCs/>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827" w:hRule="atLeast"/>
          <w:jc w:val="center"/>
        </w:trPr>
        <w:tc>
          <w:tcPr>
            <w:tcW w:w="9183" w:type="dxa"/>
            <w:gridSpan w:val="9"/>
          </w:tcPr>
          <w:p>
            <w:pPr>
              <w:pStyle w:val="3"/>
              <w:tabs>
                <w:tab w:val="left" w:pos="3225"/>
              </w:tabs>
              <w:spacing w:line="276" w:lineRule="auto"/>
              <w:ind w:firstLine="0" w:firstLineChars="0"/>
              <w:rPr>
                <w:rFonts w:ascii="Times New Roman"/>
                <w:color w:val="000000"/>
                <w:sz w:val="21"/>
                <w:szCs w:val="21"/>
              </w:rPr>
            </w:pPr>
            <w:r>
              <w:rPr>
                <w:rFonts w:ascii="Times New Roman"/>
                <w:color w:val="000000"/>
                <w:sz w:val="21"/>
                <w:szCs w:val="21"/>
              </w:rPr>
              <w:t>曾获陕西省科技奖励情况：</w:t>
            </w:r>
            <w:r>
              <w:rPr>
                <w:rFonts w:ascii="Times New Roman"/>
                <w:color w:val="000000"/>
                <w:sz w:val="21"/>
                <w:szCs w:val="21"/>
              </w:rPr>
              <w:tab/>
            </w:r>
          </w:p>
          <w:p>
            <w:pPr>
              <w:spacing w:before="40" w:after="40"/>
              <w:rPr>
                <w:color w:val="000000"/>
                <w:szCs w:val="21"/>
              </w:rPr>
            </w:pPr>
            <w:r>
              <w:rPr>
                <w:color w:val="000000"/>
                <w:szCs w:val="21"/>
              </w:rPr>
              <w:t>2006年获陕西省科学技术一等奖（排名第一），2015年获陕西省科学技术一等奖（排名第</w:t>
            </w:r>
            <w:r>
              <w:rPr>
                <w:rFonts w:hint="eastAsia"/>
                <w:color w:val="000000"/>
                <w:szCs w:val="21"/>
              </w:rPr>
              <w:t>四</w:t>
            </w:r>
            <w:r>
              <w:rPr>
                <w:color w:val="000000"/>
                <w:szCs w:val="21"/>
              </w:rPr>
              <w:t>），2017年度陕西省基础研究重大贡献奖</w:t>
            </w:r>
          </w:p>
          <w:p>
            <w:pPr>
              <w:pStyle w:val="3"/>
              <w:rPr>
                <w:rFonts w:hint="eastAsia"/>
                <w:color w:val="000000"/>
                <w:szCs w:val="21"/>
              </w:rPr>
            </w:pPr>
          </w:p>
          <w:p>
            <w:pPr>
              <w:pStyle w:val="3"/>
              <w:rPr>
                <w:rFonts w:hint="eastAsia"/>
                <w:color w:val="000000"/>
                <w:szCs w:val="21"/>
              </w:rPr>
            </w:pPr>
          </w:p>
          <w:p>
            <w:pPr>
              <w:pStyle w:val="3"/>
              <w:rPr>
                <w:rFonts w:hint="eastAsia"/>
                <w:color w:val="000000"/>
                <w:szCs w:val="21"/>
              </w:rPr>
            </w:pPr>
          </w:p>
          <w:p>
            <w:pPr>
              <w:pStyle w:val="3"/>
              <w:rPr>
                <w:rFonts w:hint="eastAsia"/>
                <w:color w:val="000000"/>
                <w:szCs w:val="21"/>
              </w:rPr>
            </w:pPr>
          </w:p>
          <w:p>
            <w:pPr>
              <w:pStyle w:val="3"/>
              <w:rPr>
                <w:rFonts w:hint="eastAsia"/>
                <w:color w:val="000000"/>
                <w:szCs w:val="21"/>
              </w:rPr>
            </w:pPr>
          </w:p>
          <w:p>
            <w:pPr>
              <w:pStyle w:val="3"/>
              <w:rPr>
                <w:rFonts w:hint="eastAsia"/>
                <w:color w:val="000000"/>
                <w:szCs w:val="21"/>
              </w:rPr>
            </w:pPr>
          </w:p>
          <w:p>
            <w:pPr>
              <w:pStyle w:val="3"/>
              <w:rPr>
                <w:rFonts w:hint="eastAsia"/>
                <w:color w:val="000000"/>
                <w:szCs w:val="21"/>
              </w:rPr>
            </w:pPr>
          </w:p>
          <w:p>
            <w:pPr>
              <w:pStyle w:val="3"/>
              <w:rPr>
                <w:rFonts w:hint="eastAsia"/>
                <w:color w:val="000000"/>
                <w:szCs w:val="21"/>
              </w:rPr>
            </w:pPr>
          </w:p>
          <w:p>
            <w:pPr>
              <w:pStyle w:val="3"/>
              <w:rPr>
                <w:color w:val="00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姓    名</w:t>
            </w:r>
          </w:p>
        </w:tc>
        <w:tc>
          <w:tcPr>
            <w:tcW w:w="1360"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蒋建利</w:t>
            </w:r>
          </w:p>
        </w:tc>
        <w:tc>
          <w:tcPr>
            <w:tcW w:w="68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性别</w:t>
            </w:r>
          </w:p>
        </w:tc>
        <w:tc>
          <w:tcPr>
            <w:tcW w:w="5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男</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排    名</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第四</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国    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出生年月</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 生 地</w:t>
            </w:r>
          </w:p>
        </w:tc>
        <w:tc>
          <w:tcPr>
            <w:tcW w:w="1600" w:type="dxa"/>
            <w:vAlign w:val="center"/>
          </w:tcPr>
          <w:p>
            <w:pPr>
              <w:pStyle w:val="3"/>
              <w:spacing w:line="390" w:lineRule="exact"/>
              <w:ind w:firstLine="0" w:firstLineChars="0"/>
              <w:jc w:val="both"/>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民    族</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身份证号</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归国人员</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sz w:val="21"/>
                <w:highlight w:val="black"/>
              </w:rPr>
              <w:t>□</w:t>
            </w:r>
            <w:r>
              <w:rPr>
                <w:rFonts w:ascii="Times New Roman"/>
                <w:sz w:val="21"/>
              </w:rPr>
              <w:t>是 □否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归国时间</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技术职称</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教授</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最高学历</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博士研究生</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毕业学校</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第四军医大学</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毕业时间</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所学专业</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细胞生物学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电子邮箱</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办公电话</w:t>
            </w:r>
          </w:p>
        </w:tc>
        <w:tc>
          <w:tcPr>
            <w:tcW w:w="1600" w:type="dxa"/>
            <w:vAlign w:val="center"/>
          </w:tcPr>
          <w:p>
            <w:pPr>
              <w:pStyle w:val="3"/>
              <w:spacing w:line="390" w:lineRule="exact"/>
              <w:ind w:firstLine="0" w:firstLineChars="0"/>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移动电话</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通讯地址</w:t>
            </w:r>
          </w:p>
        </w:tc>
        <w:tc>
          <w:tcPr>
            <w:tcW w:w="5402" w:type="dxa"/>
            <w:gridSpan w:val="6"/>
            <w:tcBorders>
              <w:bottom w:val="single" w:color="auto" w:sz="4" w:space="0"/>
            </w:tcBorders>
            <w:vAlign w:val="center"/>
          </w:tcPr>
          <w:p>
            <w:pPr>
              <w:widowControl/>
              <w:jc w:val="center"/>
              <w:rPr>
                <w:color w:val="000000"/>
                <w:szCs w:val="21"/>
              </w:rPr>
            </w:pPr>
            <w:r>
              <w:rPr>
                <w:color w:val="000000"/>
                <w:szCs w:val="21"/>
              </w:rPr>
              <w:t>陕西省西安市长乐西路169号</w:t>
            </w:r>
          </w:p>
          <w:p>
            <w:pPr>
              <w:widowControl/>
              <w:jc w:val="center"/>
              <w:rPr>
                <w:color w:val="000000"/>
                <w:szCs w:val="21"/>
              </w:rPr>
            </w:pPr>
            <w:r>
              <w:rPr>
                <w:color w:val="000000"/>
                <w:szCs w:val="21"/>
              </w:rPr>
              <w:t>空军军医大学基础医学院</w:t>
            </w:r>
          </w:p>
        </w:tc>
        <w:tc>
          <w:tcPr>
            <w:tcW w:w="1078"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邮政编码</w:t>
            </w:r>
          </w:p>
        </w:tc>
        <w:tc>
          <w:tcPr>
            <w:tcW w:w="1642"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工作单位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行政职务</w:t>
            </w:r>
          </w:p>
        </w:tc>
        <w:tc>
          <w:tcPr>
            <w:tcW w:w="1642"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副主任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二级单位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hint="eastAsia" w:ascii="Times New Roman"/>
                <w:color w:val="000000"/>
                <w:kern w:val="0"/>
                <w:sz w:val="21"/>
                <w:szCs w:val="21"/>
              </w:rPr>
              <w:t>国家分子医学转化中心</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党    派</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完成单位</w:t>
            </w:r>
          </w:p>
        </w:tc>
        <w:tc>
          <w:tcPr>
            <w:tcW w:w="5402" w:type="dxa"/>
            <w:gridSpan w:val="6"/>
            <w:vMerge w:val="restart"/>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 在 地</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3"/>
              <w:spacing w:line="390" w:lineRule="exact"/>
              <w:ind w:firstLine="0" w:firstLineChars="0"/>
              <w:jc w:val="center"/>
              <w:rPr>
                <w:rFonts w:ascii="Times New Roman"/>
                <w:color w:val="000000"/>
                <w:sz w:val="21"/>
                <w:szCs w:val="21"/>
              </w:rPr>
            </w:pPr>
          </w:p>
        </w:tc>
        <w:tc>
          <w:tcPr>
            <w:tcW w:w="5402" w:type="dxa"/>
            <w:gridSpan w:val="6"/>
            <w:vMerge w:val="continue"/>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单位性质</w:t>
            </w:r>
          </w:p>
        </w:tc>
        <w:tc>
          <w:tcPr>
            <w:tcW w:w="1642" w:type="dxa"/>
            <w:vAlign w:val="center"/>
          </w:tcPr>
          <w:p>
            <w:pPr>
              <w:pStyle w:val="3"/>
              <w:spacing w:line="390" w:lineRule="exact"/>
              <w:ind w:firstLine="0" w:firstLineChars="0"/>
              <w:jc w:val="center"/>
              <w:rPr>
                <w:rFonts w:ascii="Times New Roman"/>
                <w:color w:val="000000"/>
                <w:sz w:val="21"/>
                <w:szCs w:val="21"/>
              </w:rPr>
            </w:pPr>
            <w:r>
              <w:rPr>
                <w:rFonts w:hint="eastAsia" w:ascii="Times New Roman"/>
                <w:color w:val="000000"/>
                <w:sz w:val="21"/>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参加本项目的起止时间</w:t>
            </w:r>
          </w:p>
        </w:tc>
        <w:tc>
          <w:tcPr>
            <w:tcW w:w="6835" w:type="dxa"/>
            <w:gridSpan w:val="7"/>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2006年05月</w:t>
            </w:r>
            <w:r>
              <w:rPr>
                <w:rFonts w:ascii="Times New Roman"/>
                <w:color w:val="000000"/>
                <w:sz w:val="21"/>
                <w:szCs w:val="21"/>
              </w:rPr>
              <w:t>至</w:t>
            </w:r>
            <w:r>
              <w:rPr>
                <w:rFonts w:ascii="Times New Roman"/>
                <w:color w:val="000000"/>
                <w:kern w:val="0"/>
                <w:sz w:val="21"/>
                <w:szCs w:val="21"/>
              </w:rPr>
              <w:t>2016年10月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9183" w:type="dxa"/>
            <w:gridSpan w:val="9"/>
          </w:tcPr>
          <w:p>
            <w:pPr>
              <w:pStyle w:val="3"/>
              <w:spacing w:line="390" w:lineRule="exact"/>
              <w:ind w:firstLine="0" w:firstLineChars="0"/>
              <w:rPr>
                <w:rFonts w:ascii="Times New Roman"/>
                <w:color w:val="000000"/>
                <w:sz w:val="21"/>
                <w:szCs w:val="21"/>
              </w:rPr>
            </w:pPr>
            <w:r>
              <w:rPr>
                <w:rFonts w:ascii="Times New Roman"/>
                <w:color w:val="000000"/>
                <w:sz w:val="21"/>
                <w:szCs w:val="21"/>
              </w:rPr>
              <w:t>对本项目主要学术贡献：</w:t>
            </w:r>
          </w:p>
          <w:p>
            <w:pPr>
              <w:pStyle w:val="3"/>
              <w:spacing w:line="240" w:lineRule="auto"/>
              <w:ind w:firstLine="525" w:firstLineChars="250"/>
              <w:rPr>
                <w:rFonts w:ascii="Times New Roman"/>
                <w:sz w:val="21"/>
                <w:szCs w:val="21"/>
              </w:rPr>
            </w:pPr>
            <w:r>
              <w:rPr>
                <w:rFonts w:ascii="Times New Roman"/>
                <w:sz w:val="21"/>
                <w:szCs w:val="21"/>
              </w:rPr>
              <w:t>对该项目“主要科学发现”中第1和2项做出了创新性贡献。系统阐明CD147→PI3K/Akt→MDM2→P53→TIGAR和GLUT1肝癌细胞糖代谢重编程通路。发现CD147通过与integrin β1相互作用增强肝癌细胞放疗抵抗，HcHAb18抗体提高放疗敏感性。在以CD147靶点人源化美妥珠单抗的研发及临床转化方面做出重要贡献。研究结果发表于J Hepatol</w:t>
            </w:r>
            <w:r>
              <w:rPr>
                <w:rFonts w:hint="eastAsia" w:ascii="Times New Roman"/>
                <w:sz w:val="21"/>
                <w:szCs w:val="21"/>
              </w:rPr>
              <w:t xml:space="preserve"> </w:t>
            </w:r>
            <w:r>
              <w:rPr>
                <w:rFonts w:ascii="Times New Roman"/>
                <w:sz w:val="21"/>
                <w:szCs w:val="21"/>
              </w:rPr>
              <w:t>2014（IF</w:t>
            </w:r>
            <w:r>
              <w:rPr>
                <w:rFonts w:hint="eastAsia" w:ascii="Times New Roman"/>
                <w:sz w:val="21"/>
                <w:szCs w:val="21"/>
              </w:rPr>
              <w:t>：</w:t>
            </w:r>
            <w:r>
              <w:rPr>
                <w:rFonts w:ascii="Times New Roman"/>
                <w:sz w:val="21"/>
                <w:szCs w:val="21"/>
              </w:rPr>
              <w:t>11.336</w:t>
            </w:r>
            <w:r>
              <w:rPr>
                <w:rFonts w:ascii="Times New Roman"/>
                <w:szCs w:val="21"/>
              </w:rPr>
              <w:t>）</w:t>
            </w:r>
            <w:r>
              <w:rPr>
                <w:rFonts w:hint="eastAsia" w:ascii="Times New Roman"/>
                <w:sz w:val="21"/>
                <w:szCs w:val="21"/>
              </w:rPr>
              <w:t>、</w:t>
            </w:r>
            <w:r>
              <w:rPr>
                <w:rFonts w:ascii="Times New Roman"/>
                <w:sz w:val="21"/>
                <w:szCs w:val="21"/>
              </w:rPr>
              <w:t>Mol Cancer Ther</w:t>
            </w:r>
            <w:r>
              <w:rPr>
                <w:rFonts w:hint="eastAsia" w:ascii="Times New Roman"/>
                <w:sz w:val="21"/>
                <w:szCs w:val="21"/>
              </w:rPr>
              <w:t xml:space="preserve"> </w:t>
            </w:r>
            <w:r>
              <w:rPr>
                <w:rFonts w:ascii="Times New Roman"/>
                <w:sz w:val="21"/>
                <w:szCs w:val="21"/>
              </w:rPr>
              <w:t>2015（IF</w:t>
            </w:r>
            <w:r>
              <w:rPr>
                <w:rFonts w:hint="eastAsia" w:ascii="Times New Roman"/>
                <w:sz w:val="21"/>
                <w:szCs w:val="21"/>
              </w:rPr>
              <w:t>：</w:t>
            </w:r>
            <w:r>
              <w:rPr>
                <w:rFonts w:ascii="Times New Roman"/>
                <w:sz w:val="21"/>
                <w:szCs w:val="21"/>
              </w:rPr>
              <w:t>5.579）及J Biol Chem</w:t>
            </w:r>
            <w:r>
              <w:rPr>
                <w:rFonts w:hint="eastAsia" w:ascii="Times New Roman"/>
                <w:sz w:val="21"/>
                <w:szCs w:val="21"/>
              </w:rPr>
              <w:t xml:space="preserve"> </w:t>
            </w:r>
            <w:r>
              <w:rPr>
                <w:rFonts w:ascii="Times New Roman"/>
                <w:sz w:val="21"/>
                <w:szCs w:val="21"/>
              </w:rPr>
              <w:t>2012（IF</w:t>
            </w:r>
            <w:r>
              <w:rPr>
                <w:rFonts w:hint="eastAsia" w:ascii="Times New Roman"/>
                <w:sz w:val="21"/>
                <w:szCs w:val="21"/>
              </w:rPr>
              <w:t>：</w:t>
            </w:r>
            <w:r>
              <w:rPr>
                <w:rFonts w:ascii="Times New Roman"/>
                <w:sz w:val="21"/>
                <w:szCs w:val="21"/>
              </w:rPr>
              <w:t>4.773</w:t>
            </w:r>
            <w:r>
              <w:rPr>
                <w:rFonts w:hint="eastAsia" w:ascii="Times New Roman"/>
                <w:sz w:val="21"/>
                <w:szCs w:val="21"/>
              </w:rPr>
              <w:t>）</w:t>
            </w:r>
            <w:r>
              <w:rPr>
                <w:rFonts w:ascii="Times New Roman"/>
                <w:sz w:val="21"/>
                <w:szCs w:val="21"/>
              </w:rPr>
              <w:t>。</w:t>
            </w:r>
          </w:p>
          <w:p>
            <w:pPr>
              <w:pStyle w:val="3"/>
              <w:spacing w:line="240" w:lineRule="auto"/>
              <w:ind w:firstLine="525" w:firstLineChars="250"/>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91" w:hRule="atLeast"/>
          <w:jc w:val="center"/>
        </w:trPr>
        <w:tc>
          <w:tcPr>
            <w:tcW w:w="9183" w:type="dxa"/>
            <w:gridSpan w:val="9"/>
          </w:tcPr>
          <w:p>
            <w:pPr>
              <w:pStyle w:val="3"/>
              <w:tabs>
                <w:tab w:val="left" w:pos="3331"/>
              </w:tabs>
              <w:spacing w:line="276" w:lineRule="auto"/>
              <w:ind w:firstLine="0" w:firstLineChars="0"/>
              <w:rPr>
                <w:rFonts w:ascii="Times New Roman"/>
                <w:color w:val="000000"/>
                <w:sz w:val="21"/>
                <w:szCs w:val="21"/>
              </w:rPr>
            </w:pPr>
            <w:r>
              <w:rPr>
                <w:rFonts w:ascii="Times New Roman"/>
                <w:color w:val="000000"/>
                <w:sz w:val="21"/>
                <w:szCs w:val="21"/>
              </w:rPr>
              <w:t>曾获陕西省科技奖励情况：</w:t>
            </w:r>
            <w:r>
              <w:rPr>
                <w:rFonts w:hint="eastAsia" w:ascii="Times New Roman"/>
                <w:color w:val="000000"/>
                <w:sz w:val="21"/>
                <w:szCs w:val="21"/>
              </w:rPr>
              <w:t>无</w:t>
            </w:r>
            <w:r>
              <w:rPr>
                <w:rFonts w:ascii="Times New Roman"/>
                <w:color w:val="000000"/>
                <w:sz w:val="21"/>
                <w:szCs w:val="21"/>
              </w:rPr>
              <w:tab/>
            </w:r>
          </w:p>
          <w:p>
            <w:pPr>
              <w:spacing w:before="40" w:after="40"/>
              <w:rPr>
                <w:b/>
                <w:bCs/>
                <w:color w:val="000000"/>
                <w:sz w:val="32"/>
                <w:szCs w:val="21"/>
              </w:rPr>
            </w:pPr>
          </w:p>
          <w:p>
            <w:pPr>
              <w:pStyle w:val="3"/>
              <w:rPr>
                <w:color w:val="00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姓    名</w:t>
            </w:r>
          </w:p>
        </w:tc>
        <w:tc>
          <w:tcPr>
            <w:tcW w:w="1360"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孔令敏</w:t>
            </w:r>
          </w:p>
        </w:tc>
        <w:tc>
          <w:tcPr>
            <w:tcW w:w="68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性别</w:t>
            </w:r>
          </w:p>
        </w:tc>
        <w:tc>
          <w:tcPr>
            <w:tcW w:w="5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女</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排    名</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第五</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国    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出生年月</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 生 地</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民    族</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身份证号</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归国人员</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themeColor="text1"/>
                <w:sz w:val="21"/>
              </w:rPr>
              <w:t xml:space="preserve">□是 </w:t>
            </w:r>
            <w:r>
              <w:rPr>
                <w:rFonts w:ascii="Times New Roman"/>
                <w:color w:val="000000" w:themeColor="text1"/>
                <w:sz w:val="21"/>
                <w:highlight w:val="black"/>
              </w:rPr>
              <w:t>□</w:t>
            </w:r>
            <w:r>
              <w:rPr>
                <w:rFonts w:ascii="Times New Roman"/>
                <w:color w:val="000000" w:themeColor="text1"/>
                <w:sz w:val="21"/>
              </w:rPr>
              <w:t>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归国时间</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技术职称</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副教授</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最高学历</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博士研究生</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毕业学校</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第四军医大学</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毕业时间</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所学专业</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细胞生物学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电子邮箱</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办公电话</w:t>
            </w:r>
          </w:p>
        </w:tc>
        <w:tc>
          <w:tcPr>
            <w:tcW w:w="1600" w:type="dxa"/>
            <w:vAlign w:val="center"/>
          </w:tcPr>
          <w:p>
            <w:pPr>
              <w:pStyle w:val="3"/>
              <w:spacing w:line="390" w:lineRule="exact"/>
              <w:ind w:firstLine="0" w:firstLineChars="0"/>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移动电话</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通讯地址</w:t>
            </w:r>
          </w:p>
        </w:tc>
        <w:tc>
          <w:tcPr>
            <w:tcW w:w="5402" w:type="dxa"/>
            <w:gridSpan w:val="6"/>
            <w:tcBorders>
              <w:bottom w:val="single" w:color="auto" w:sz="4" w:space="0"/>
            </w:tcBorders>
            <w:vAlign w:val="center"/>
          </w:tcPr>
          <w:p>
            <w:pPr>
              <w:widowControl/>
              <w:jc w:val="center"/>
              <w:rPr>
                <w:color w:val="000000"/>
                <w:szCs w:val="21"/>
              </w:rPr>
            </w:pPr>
            <w:r>
              <w:rPr>
                <w:color w:val="000000"/>
                <w:szCs w:val="21"/>
              </w:rPr>
              <w:t>陕西省西安市长乐西路169号</w:t>
            </w:r>
          </w:p>
          <w:p>
            <w:pPr>
              <w:widowControl/>
              <w:jc w:val="center"/>
              <w:rPr>
                <w:color w:val="000000"/>
                <w:szCs w:val="21"/>
              </w:rPr>
            </w:pPr>
            <w:r>
              <w:rPr>
                <w:color w:val="000000"/>
                <w:szCs w:val="21"/>
              </w:rPr>
              <w:t>空军军医大学基础医学院</w:t>
            </w:r>
          </w:p>
        </w:tc>
        <w:tc>
          <w:tcPr>
            <w:tcW w:w="1078"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邮政编码</w:t>
            </w:r>
          </w:p>
        </w:tc>
        <w:tc>
          <w:tcPr>
            <w:tcW w:w="1642"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工作单位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行政职务</w:t>
            </w:r>
          </w:p>
        </w:tc>
        <w:tc>
          <w:tcPr>
            <w:tcW w:w="1642"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二级单位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基础医学院细胞生物学教研室</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党    派</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完成单位</w:t>
            </w:r>
          </w:p>
        </w:tc>
        <w:tc>
          <w:tcPr>
            <w:tcW w:w="5402" w:type="dxa"/>
            <w:gridSpan w:val="6"/>
            <w:vMerge w:val="restart"/>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 在 地</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3"/>
              <w:spacing w:line="390" w:lineRule="exact"/>
              <w:ind w:firstLine="0" w:firstLineChars="0"/>
              <w:jc w:val="center"/>
              <w:rPr>
                <w:rFonts w:ascii="Times New Roman"/>
                <w:color w:val="000000"/>
                <w:sz w:val="21"/>
                <w:szCs w:val="21"/>
              </w:rPr>
            </w:pPr>
          </w:p>
        </w:tc>
        <w:tc>
          <w:tcPr>
            <w:tcW w:w="5402" w:type="dxa"/>
            <w:gridSpan w:val="6"/>
            <w:vMerge w:val="continue"/>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单位性质</w:t>
            </w:r>
          </w:p>
        </w:tc>
        <w:tc>
          <w:tcPr>
            <w:tcW w:w="1642" w:type="dxa"/>
            <w:vAlign w:val="center"/>
          </w:tcPr>
          <w:p>
            <w:pPr>
              <w:pStyle w:val="3"/>
              <w:spacing w:line="390" w:lineRule="exact"/>
              <w:ind w:firstLine="0" w:firstLineChars="0"/>
              <w:jc w:val="center"/>
              <w:rPr>
                <w:rFonts w:ascii="Times New Roman"/>
                <w:color w:val="000000"/>
                <w:sz w:val="21"/>
                <w:szCs w:val="21"/>
              </w:rPr>
            </w:pPr>
            <w:r>
              <w:rPr>
                <w:rFonts w:hint="eastAsia" w:ascii="Times New Roman"/>
                <w:color w:val="000000"/>
                <w:sz w:val="21"/>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参加本项目的起止时间</w:t>
            </w:r>
          </w:p>
        </w:tc>
        <w:tc>
          <w:tcPr>
            <w:tcW w:w="6835" w:type="dxa"/>
            <w:gridSpan w:val="7"/>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2006年05月</w:t>
            </w:r>
            <w:r>
              <w:rPr>
                <w:rFonts w:ascii="Times New Roman"/>
                <w:color w:val="000000"/>
                <w:sz w:val="21"/>
                <w:szCs w:val="21"/>
              </w:rPr>
              <w:t>至</w:t>
            </w:r>
            <w:r>
              <w:rPr>
                <w:rFonts w:ascii="Times New Roman"/>
                <w:color w:val="000000"/>
                <w:kern w:val="0"/>
                <w:sz w:val="21"/>
                <w:szCs w:val="21"/>
              </w:rPr>
              <w:t>2016年10月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9183" w:type="dxa"/>
            <w:gridSpan w:val="9"/>
          </w:tcPr>
          <w:p>
            <w:pPr>
              <w:pStyle w:val="3"/>
              <w:spacing w:line="390" w:lineRule="exact"/>
              <w:ind w:firstLine="0" w:firstLineChars="0"/>
              <w:rPr>
                <w:rFonts w:ascii="Times New Roman"/>
                <w:color w:val="000000"/>
                <w:sz w:val="21"/>
                <w:szCs w:val="21"/>
              </w:rPr>
            </w:pPr>
            <w:r>
              <w:rPr>
                <w:rFonts w:ascii="Times New Roman"/>
                <w:color w:val="000000"/>
                <w:sz w:val="21"/>
                <w:szCs w:val="21"/>
              </w:rPr>
              <w:t>对本项目主要学术贡献：</w:t>
            </w:r>
          </w:p>
          <w:p>
            <w:pPr>
              <w:pStyle w:val="3"/>
              <w:spacing w:line="240" w:lineRule="auto"/>
              <w:ind w:firstLine="525" w:firstLineChars="250"/>
              <w:rPr>
                <w:rFonts w:ascii="Times New Roman"/>
                <w:sz w:val="21"/>
                <w:szCs w:val="21"/>
              </w:rPr>
            </w:pPr>
            <w:r>
              <w:rPr>
                <w:rFonts w:ascii="Times New Roman"/>
                <w:sz w:val="21"/>
                <w:szCs w:val="21"/>
              </w:rPr>
              <w:t>对该项目“主要科学发现”中第3做出了创新性贡献。是</w:t>
            </w:r>
            <w:r>
              <w:rPr>
                <w:rFonts w:hint="eastAsia" w:ascii="Times New Roman"/>
                <w:sz w:val="21"/>
                <w:szCs w:val="21"/>
              </w:rPr>
              <w:t>代表性</w:t>
            </w:r>
            <w:r>
              <w:rPr>
                <w:rFonts w:ascii="Times New Roman"/>
                <w:sz w:val="21"/>
                <w:szCs w:val="21"/>
              </w:rPr>
              <w:t>论文4及8的</w:t>
            </w:r>
            <w:r>
              <w:rPr>
                <w:rFonts w:hint="eastAsia" w:ascii="Times New Roman"/>
                <w:sz w:val="21"/>
                <w:szCs w:val="21"/>
              </w:rPr>
              <w:t>第一</w:t>
            </w:r>
            <w:r>
              <w:rPr>
                <w:rFonts w:ascii="Times New Roman"/>
                <w:sz w:val="21"/>
                <w:szCs w:val="21"/>
              </w:rPr>
              <w:t>作者。首次阐明癌相关抗原CD147表达调控机制。阐明了肝癌中CD147启动子低甲基化（-340~+37</w:t>
            </w:r>
            <w:r>
              <w:rPr>
                <w:rFonts w:hint="eastAsia" w:ascii="Times New Roman"/>
                <w:sz w:val="21"/>
                <w:szCs w:val="21"/>
              </w:rPr>
              <w:t>，</w:t>
            </w:r>
            <w:r>
              <w:rPr>
                <w:rFonts w:ascii="Times New Roman"/>
                <w:sz w:val="21"/>
                <w:szCs w:val="21"/>
              </w:rPr>
              <w:t>46CpG）提升SP1结合位点活性，促进CD147高表达、与肝癌预后差相关。首次阐明了miR-22/Sp1/c-Myc调控CD147表达的分子机制。研究结果发表于Cancer Res</w:t>
            </w:r>
            <w:r>
              <w:rPr>
                <w:rFonts w:hint="eastAsia" w:ascii="Times New Roman"/>
                <w:sz w:val="21"/>
                <w:szCs w:val="21"/>
              </w:rPr>
              <w:t xml:space="preserve"> </w:t>
            </w:r>
            <w:r>
              <w:rPr>
                <w:rFonts w:ascii="Times New Roman"/>
                <w:sz w:val="21"/>
                <w:szCs w:val="21"/>
              </w:rPr>
              <w:t>2014（IF</w:t>
            </w:r>
            <w:r>
              <w:rPr>
                <w:rFonts w:hint="eastAsia" w:ascii="Times New Roman"/>
                <w:sz w:val="21"/>
                <w:szCs w:val="21"/>
              </w:rPr>
              <w:t>：</w:t>
            </w:r>
            <w:r>
              <w:rPr>
                <w:rFonts w:ascii="Times New Roman"/>
                <w:sz w:val="21"/>
                <w:szCs w:val="21"/>
              </w:rPr>
              <w:t>9.329）和J Cell Mol Med</w:t>
            </w:r>
            <w:r>
              <w:rPr>
                <w:rFonts w:hint="eastAsia" w:ascii="Times New Roman"/>
                <w:sz w:val="21"/>
                <w:szCs w:val="21"/>
              </w:rPr>
              <w:t xml:space="preserve"> </w:t>
            </w:r>
            <w:r>
              <w:rPr>
                <w:rFonts w:ascii="Times New Roman"/>
                <w:sz w:val="21"/>
                <w:szCs w:val="21"/>
              </w:rPr>
              <w:t>2011（IF</w:t>
            </w:r>
            <w:r>
              <w:rPr>
                <w:rFonts w:hint="eastAsia" w:ascii="Times New Roman"/>
                <w:sz w:val="21"/>
                <w:szCs w:val="21"/>
              </w:rPr>
              <w:t>：</w:t>
            </w:r>
            <w:r>
              <w:rPr>
                <w:rFonts w:ascii="Times New Roman"/>
                <w:sz w:val="21"/>
                <w:szCs w:val="21"/>
              </w:rPr>
              <w:t>4.608）。</w:t>
            </w:r>
          </w:p>
          <w:p>
            <w:pPr>
              <w:pStyle w:val="3"/>
              <w:spacing w:line="240" w:lineRule="auto"/>
              <w:ind w:firstLine="525" w:firstLineChars="250"/>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52" w:hRule="atLeast"/>
          <w:jc w:val="center"/>
        </w:trPr>
        <w:tc>
          <w:tcPr>
            <w:tcW w:w="9183" w:type="dxa"/>
            <w:gridSpan w:val="9"/>
          </w:tcPr>
          <w:p>
            <w:pPr>
              <w:pStyle w:val="3"/>
              <w:spacing w:line="276" w:lineRule="auto"/>
              <w:ind w:firstLine="0" w:firstLineChars="0"/>
              <w:rPr>
                <w:rFonts w:ascii="Times New Roman"/>
                <w:color w:val="000000"/>
                <w:sz w:val="21"/>
                <w:szCs w:val="21"/>
              </w:rPr>
            </w:pPr>
            <w:r>
              <w:rPr>
                <w:rFonts w:ascii="Times New Roman"/>
                <w:color w:val="000000"/>
                <w:sz w:val="21"/>
                <w:szCs w:val="21"/>
              </w:rPr>
              <w:t>曾获陕西省科技奖励情况：</w:t>
            </w:r>
          </w:p>
          <w:p>
            <w:pPr>
              <w:pStyle w:val="3"/>
              <w:tabs>
                <w:tab w:val="left" w:pos="5029"/>
                <w:tab w:val="left" w:pos="5157"/>
                <w:tab w:val="left" w:pos="5358"/>
              </w:tabs>
              <w:spacing w:line="276" w:lineRule="auto"/>
              <w:ind w:firstLine="0" w:firstLineChars="0"/>
              <w:rPr>
                <w:rFonts w:ascii="Times New Roman"/>
                <w:color w:val="000000"/>
                <w:sz w:val="21"/>
                <w:szCs w:val="21"/>
              </w:rPr>
            </w:pPr>
            <w:r>
              <w:rPr>
                <w:rFonts w:ascii="Times New Roman"/>
                <w:color w:val="000000"/>
                <w:sz w:val="21"/>
                <w:szCs w:val="21"/>
              </w:rPr>
              <w:t>2015年获陕西省科学技术一等奖（排名第十一）</w:t>
            </w:r>
            <w:r>
              <w:rPr>
                <w:rFonts w:ascii="Times New Roman"/>
                <w:color w:val="000000"/>
                <w:sz w:val="21"/>
                <w:szCs w:val="21"/>
              </w:rPr>
              <w:tab/>
            </w:r>
          </w:p>
          <w:p>
            <w:pPr>
              <w:pStyle w:val="3"/>
              <w:tabs>
                <w:tab w:val="left" w:pos="5029"/>
                <w:tab w:val="left" w:pos="5157"/>
                <w:tab w:val="left" w:pos="5358"/>
              </w:tabs>
              <w:spacing w:line="276" w:lineRule="auto"/>
              <w:ind w:firstLine="0" w:firstLineChars="0"/>
              <w:rPr>
                <w:rFonts w:ascii="Times New Roman"/>
                <w:color w:val="000000"/>
                <w:sz w:val="21"/>
                <w:szCs w:val="21"/>
              </w:rPr>
            </w:pPr>
            <w:r>
              <w:rPr>
                <w:rFonts w:ascii="Times New Roman"/>
                <w:color w:val="000000"/>
                <w:sz w:val="21"/>
                <w:szCs w:val="21"/>
              </w:rPr>
              <w:tab/>
            </w:r>
            <w:r>
              <w:rPr>
                <w:rFonts w:ascii="Times New Roman"/>
                <w:color w:val="000000"/>
                <w:sz w:val="21"/>
                <w:szCs w:val="21"/>
              </w:rPr>
              <w:tab/>
            </w:r>
          </w:p>
          <w:p>
            <w:pPr>
              <w:pStyle w:val="3"/>
              <w:ind w:firstLine="420"/>
              <w:rPr>
                <w:rFonts w:hint="eastAsia" w:ascii="Times New Roman"/>
                <w:color w:val="000000"/>
                <w:sz w:val="21"/>
                <w:szCs w:val="21"/>
              </w:rPr>
            </w:pPr>
          </w:p>
          <w:p>
            <w:pPr>
              <w:pStyle w:val="3"/>
              <w:ind w:firstLine="420"/>
              <w:rPr>
                <w:rFonts w:hint="eastAsia" w:ascii="Times New Roman"/>
                <w:color w:val="000000"/>
                <w:sz w:val="21"/>
                <w:szCs w:val="21"/>
              </w:rPr>
            </w:pPr>
          </w:p>
          <w:p>
            <w:pPr>
              <w:pStyle w:val="3"/>
              <w:ind w:firstLine="420"/>
              <w:rPr>
                <w:rFonts w:hint="eastAsia" w:ascii="Times New Roman"/>
                <w:color w:val="000000"/>
                <w:sz w:val="21"/>
                <w:szCs w:val="21"/>
              </w:rPr>
            </w:pPr>
          </w:p>
          <w:p>
            <w:pPr>
              <w:pStyle w:val="3"/>
              <w:ind w:firstLine="420"/>
              <w:rPr>
                <w:rFonts w:hint="eastAsia" w:ascii="Times New Roman"/>
                <w:color w:val="000000"/>
                <w:sz w:val="21"/>
                <w:szCs w:val="21"/>
              </w:rPr>
            </w:pPr>
          </w:p>
          <w:p>
            <w:pPr>
              <w:pStyle w:val="3"/>
              <w:ind w:firstLine="420"/>
              <w:rPr>
                <w:rFonts w:hint="eastAsia" w:ascii="Times New Roman"/>
                <w:color w:val="000000"/>
                <w:sz w:val="21"/>
                <w:szCs w:val="21"/>
              </w:rPr>
            </w:pPr>
          </w:p>
          <w:p>
            <w:pPr>
              <w:pStyle w:val="3"/>
              <w:ind w:firstLine="420"/>
              <w:rPr>
                <w:rFonts w:hint="eastAsia" w:ascii="Times New Roman"/>
                <w:color w:val="000000"/>
                <w:sz w:val="21"/>
                <w:szCs w:val="21"/>
              </w:rPr>
            </w:pPr>
          </w:p>
          <w:p>
            <w:pPr>
              <w:pStyle w:val="3"/>
              <w:ind w:firstLine="420"/>
              <w:rPr>
                <w:rFonts w:hint="eastAsia" w:ascii="Times New Roman"/>
                <w:color w:val="000000"/>
                <w:sz w:val="21"/>
                <w:szCs w:val="21"/>
              </w:rPr>
            </w:pPr>
          </w:p>
          <w:p>
            <w:pPr>
              <w:pStyle w:val="3"/>
              <w:ind w:firstLine="420"/>
              <w:rPr>
                <w:rFonts w:hint="eastAsia" w:ascii="Times New Roman"/>
                <w:color w:val="000000"/>
                <w:sz w:val="21"/>
                <w:szCs w:val="21"/>
              </w:rPr>
            </w:pPr>
          </w:p>
          <w:p>
            <w:pPr>
              <w:pStyle w:val="3"/>
              <w:ind w:firstLine="420"/>
              <w:rPr>
                <w:rFonts w:hint="eastAsia" w:ascii="Times New Roman"/>
                <w:color w:val="000000"/>
                <w:sz w:val="21"/>
                <w:szCs w:val="21"/>
              </w:rPr>
            </w:pPr>
          </w:p>
          <w:p>
            <w:pPr>
              <w:pStyle w:val="3"/>
              <w:ind w:firstLine="420"/>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姓    名</w:t>
            </w:r>
          </w:p>
        </w:tc>
        <w:tc>
          <w:tcPr>
            <w:tcW w:w="1360"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张征</w:t>
            </w:r>
          </w:p>
        </w:tc>
        <w:tc>
          <w:tcPr>
            <w:tcW w:w="68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性别</w:t>
            </w:r>
          </w:p>
        </w:tc>
        <w:tc>
          <w:tcPr>
            <w:tcW w:w="5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男</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排    名</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第六</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国    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出生年月</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出 生 地</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民    族</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身份证号</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归国人员</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themeColor="text1"/>
                <w:sz w:val="21"/>
              </w:rPr>
              <w:t xml:space="preserve">□是 </w:t>
            </w:r>
            <w:r>
              <w:rPr>
                <w:rFonts w:ascii="Times New Roman"/>
                <w:color w:val="000000" w:themeColor="text1"/>
                <w:sz w:val="21"/>
                <w:highlight w:val="black"/>
              </w:rPr>
              <w:t>□</w:t>
            </w:r>
            <w:r>
              <w:rPr>
                <w:rFonts w:ascii="Times New Roman"/>
                <w:color w:val="000000" w:themeColor="text1"/>
                <w:sz w:val="21"/>
              </w:rPr>
              <w:t>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归国时间</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技术职称</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副教授</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最高学历</w:t>
            </w:r>
          </w:p>
        </w:tc>
        <w:tc>
          <w:tcPr>
            <w:tcW w:w="1600"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博士研究生</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最高学位</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毕业学校</w:t>
            </w:r>
          </w:p>
        </w:tc>
        <w:tc>
          <w:tcPr>
            <w:tcW w:w="2601" w:type="dxa"/>
            <w:gridSpan w:val="4"/>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第四军医大学</w:t>
            </w: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毕业时间</w:t>
            </w:r>
          </w:p>
        </w:tc>
        <w:tc>
          <w:tcPr>
            <w:tcW w:w="1600" w:type="dxa"/>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所学专业</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细胞生物学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电子邮箱</w:t>
            </w:r>
          </w:p>
        </w:tc>
        <w:tc>
          <w:tcPr>
            <w:tcW w:w="2601" w:type="dxa"/>
            <w:gridSpan w:val="4"/>
            <w:vAlign w:val="center"/>
          </w:tcPr>
          <w:p>
            <w:pPr>
              <w:pStyle w:val="3"/>
              <w:spacing w:line="390" w:lineRule="exact"/>
              <w:ind w:firstLine="0" w:firstLineChars="0"/>
              <w:jc w:val="center"/>
              <w:rPr>
                <w:rFonts w:ascii="Times New Roman"/>
                <w:color w:val="000000"/>
                <w:sz w:val="21"/>
                <w:szCs w:val="21"/>
              </w:rPr>
            </w:pPr>
          </w:p>
        </w:tc>
        <w:tc>
          <w:tcPr>
            <w:tcW w:w="120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办公电话</w:t>
            </w:r>
          </w:p>
        </w:tc>
        <w:tc>
          <w:tcPr>
            <w:tcW w:w="1600" w:type="dxa"/>
            <w:vAlign w:val="center"/>
          </w:tcPr>
          <w:p>
            <w:pPr>
              <w:pStyle w:val="3"/>
              <w:spacing w:line="390" w:lineRule="exact"/>
              <w:ind w:firstLine="0" w:firstLineChars="0"/>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移动电话</w:t>
            </w:r>
          </w:p>
        </w:tc>
        <w:tc>
          <w:tcPr>
            <w:tcW w:w="1642" w:type="dxa"/>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通讯地址</w:t>
            </w:r>
          </w:p>
        </w:tc>
        <w:tc>
          <w:tcPr>
            <w:tcW w:w="5402" w:type="dxa"/>
            <w:gridSpan w:val="6"/>
            <w:tcBorders>
              <w:bottom w:val="single" w:color="auto" w:sz="4" w:space="0"/>
            </w:tcBorders>
            <w:vAlign w:val="center"/>
          </w:tcPr>
          <w:p>
            <w:pPr>
              <w:widowControl/>
              <w:jc w:val="center"/>
              <w:rPr>
                <w:color w:val="000000"/>
                <w:szCs w:val="21"/>
              </w:rPr>
            </w:pPr>
            <w:r>
              <w:rPr>
                <w:color w:val="000000"/>
                <w:szCs w:val="21"/>
              </w:rPr>
              <w:t>陕西省西安市长乐西路169号</w:t>
            </w:r>
          </w:p>
          <w:p>
            <w:pPr>
              <w:widowControl/>
              <w:jc w:val="center"/>
              <w:rPr>
                <w:color w:val="000000"/>
                <w:szCs w:val="21"/>
              </w:rPr>
            </w:pPr>
            <w:r>
              <w:rPr>
                <w:color w:val="000000"/>
                <w:szCs w:val="21"/>
              </w:rPr>
              <w:t>空军军医大学基础医学院</w:t>
            </w:r>
          </w:p>
        </w:tc>
        <w:tc>
          <w:tcPr>
            <w:tcW w:w="1078"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邮政编码</w:t>
            </w:r>
          </w:p>
        </w:tc>
        <w:tc>
          <w:tcPr>
            <w:tcW w:w="1642" w:type="dxa"/>
            <w:tcBorders>
              <w:bottom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工作单位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行政职务</w:t>
            </w:r>
          </w:p>
        </w:tc>
        <w:tc>
          <w:tcPr>
            <w:tcW w:w="1642" w:type="dxa"/>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二级单位</w:t>
            </w:r>
          </w:p>
        </w:tc>
        <w:tc>
          <w:tcPr>
            <w:tcW w:w="5402" w:type="dxa"/>
            <w:gridSpan w:val="6"/>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基础医学院细胞生物学教研室</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党    派</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完成单位</w:t>
            </w:r>
          </w:p>
        </w:tc>
        <w:tc>
          <w:tcPr>
            <w:tcW w:w="5402" w:type="dxa"/>
            <w:gridSpan w:val="6"/>
            <w:vMerge w:val="restart"/>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中国人民解放军空军军医大学</w:t>
            </w: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所 在 地</w:t>
            </w:r>
          </w:p>
        </w:tc>
        <w:tc>
          <w:tcPr>
            <w:tcW w:w="1642"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3"/>
              <w:spacing w:line="390" w:lineRule="exact"/>
              <w:ind w:firstLine="0" w:firstLineChars="0"/>
              <w:jc w:val="center"/>
              <w:rPr>
                <w:rFonts w:ascii="Times New Roman"/>
                <w:color w:val="000000"/>
                <w:sz w:val="21"/>
                <w:szCs w:val="21"/>
              </w:rPr>
            </w:pPr>
          </w:p>
        </w:tc>
        <w:tc>
          <w:tcPr>
            <w:tcW w:w="5402" w:type="dxa"/>
            <w:gridSpan w:val="6"/>
            <w:vMerge w:val="continue"/>
            <w:vAlign w:val="center"/>
          </w:tcPr>
          <w:p>
            <w:pPr>
              <w:pStyle w:val="3"/>
              <w:spacing w:line="390" w:lineRule="exact"/>
              <w:ind w:firstLine="0" w:firstLineChars="0"/>
              <w:jc w:val="center"/>
              <w:rPr>
                <w:rFonts w:ascii="Times New Roman"/>
                <w:color w:val="000000"/>
                <w:sz w:val="21"/>
                <w:szCs w:val="21"/>
              </w:rPr>
            </w:pPr>
          </w:p>
        </w:tc>
        <w:tc>
          <w:tcPr>
            <w:tcW w:w="1078" w:type="dxa"/>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单位性质</w:t>
            </w:r>
          </w:p>
        </w:tc>
        <w:tc>
          <w:tcPr>
            <w:tcW w:w="1642" w:type="dxa"/>
            <w:vAlign w:val="center"/>
          </w:tcPr>
          <w:p>
            <w:pPr>
              <w:pStyle w:val="3"/>
              <w:spacing w:line="390" w:lineRule="exact"/>
              <w:ind w:firstLine="0" w:firstLineChars="0"/>
              <w:jc w:val="center"/>
              <w:rPr>
                <w:rFonts w:ascii="Times New Roman"/>
                <w:color w:val="000000"/>
                <w:sz w:val="21"/>
                <w:szCs w:val="21"/>
              </w:rPr>
            </w:pPr>
            <w:r>
              <w:rPr>
                <w:rFonts w:hint="eastAsia" w:ascii="Times New Roman"/>
                <w:color w:val="000000"/>
                <w:sz w:val="21"/>
                <w:szCs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3"/>
              <w:spacing w:line="390" w:lineRule="exact"/>
              <w:ind w:firstLine="0" w:firstLineChars="0"/>
              <w:jc w:val="center"/>
              <w:rPr>
                <w:rFonts w:ascii="Times New Roman"/>
                <w:color w:val="000000"/>
                <w:sz w:val="21"/>
                <w:szCs w:val="21"/>
              </w:rPr>
            </w:pPr>
            <w:r>
              <w:rPr>
                <w:rFonts w:ascii="Times New Roman"/>
                <w:color w:val="000000"/>
                <w:sz w:val="21"/>
                <w:szCs w:val="21"/>
              </w:rPr>
              <w:t>参加本项目的起止时间</w:t>
            </w:r>
          </w:p>
        </w:tc>
        <w:tc>
          <w:tcPr>
            <w:tcW w:w="6835" w:type="dxa"/>
            <w:gridSpan w:val="7"/>
            <w:vAlign w:val="center"/>
          </w:tcPr>
          <w:p>
            <w:pPr>
              <w:pStyle w:val="3"/>
              <w:spacing w:line="390" w:lineRule="exact"/>
              <w:ind w:firstLine="0" w:firstLineChars="0"/>
              <w:jc w:val="center"/>
              <w:rPr>
                <w:rFonts w:ascii="Times New Roman"/>
                <w:color w:val="000000"/>
                <w:sz w:val="21"/>
                <w:szCs w:val="21"/>
              </w:rPr>
            </w:pPr>
            <w:r>
              <w:rPr>
                <w:rFonts w:ascii="Times New Roman"/>
                <w:color w:val="000000"/>
                <w:kern w:val="0"/>
                <w:sz w:val="21"/>
                <w:szCs w:val="21"/>
              </w:rPr>
              <w:t>2006年05月</w:t>
            </w:r>
            <w:r>
              <w:rPr>
                <w:rFonts w:ascii="Times New Roman"/>
                <w:color w:val="000000"/>
                <w:sz w:val="21"/>
                <w:szCs w:val="21"/>
              </w:rPr>
              <w:t>至</w:t>
            </w:r>
            <w:r>
              <w:rPr>
                <w:rFonts w:ascii="Times New Roman"/>
                <w:color w:val="000000"/>
                <w:kern w:val="0"/>
                <w:sz w:val="21"/>
                <w:szCs w:val="21"/>
              </w:rPr>
              <w:t>2016年10月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9183" w:type="dxa"/>
            <w:gridSpan w:val="9"/>
          </w:tcPr>
          <w:p>
            <w:pPr>
              <w:pStyle w:val="3"/>
              <w:spacing w:line="390" w:lineRule="exact"/>
              <w:ind w:firstLine="0" w:firstLineChars="0"/>
              <w:rPr>
                <w:rFonts w:ascii="Times New Roman"/>
                <w:color w:val="000000"/>
                <w:sz w:val="21"/>
                <w:szCs w:val="21"/>
              </w:rPr>
            </w:pPr>
            <w:r>
              <w:rPr>
                <w:rFonts w:ascii="Times New Roman"/>
                <w:color w:val="000000"/>
                <w:sz w:val="21"/>
                <w:szCs w:val="21"/>
              </w:rPr>
              <w:t>对本项目主要学术贡献：</w:t>
            </w:r>
          </w:p>
          <w:p>
            <w:pPr>
              <w:pStyle w:val="3"/>
              <w:spacing w:line="240" w:lineRule="auto"/>
              <w:ind w:firstLine="525" w:firstLineChars="250"/>
              <w:rPr>
                <w:rFonts w:ascii="Times New Roman"/>
                <w:sz w:val="21"/>
                <w:szCs w:val="21"/>
              </w:rPr>
            </w:pPr>
            <w:r>
              <w:rPr>
                <w:rFonts w:ascii="Times New Roman"/>
                <w:sz w:val="21"/>
                <w:szCs w:val="21"/>
              </w:rPr>
              <w:t>对该项目“主要科学发现”中第</w:t>
            </w:r>
            <w:r>
              <w:rPr>
                <w:rFonts w:hint="eastAsia" w:ascii="Times New Roman"/>
                <w:sz w:val="21"/>
                <w:szCs w:val="21"/>
              </w:rPr>
              <w:t>3、</w:t>
            </w:r>
            <w:r>
              <w:rPr>
                <w:rFonts w:ascii="Times New Roman"/>
                <w:sz w:val="21"/>
                <w:szCs w:val="21"/>
              </w:rPr>
              <w:t>4项做出了创新性贡献。</w:t>
            </w:r>
            <w:r>
              <w:rPr>
                <w:rFonts w:hint="eastAsia" w:ascii="Times New Roman"/>
                <w:sz w:val="21"/>
                <w:szCs w:val="21"/>
              </w:rPr>
              <w:t>是代表性论文8的主要作者。</w:t>
            </w:r>
            <w:r>
              <w:rPr>
                <w:rFonts w:ascii="Times New Roman"/>
                <w:sz w:val="21"/>
                <w:szCs w:val="21"/>
              </w:rPr>
              <w:t>在以CD147靶点人源化美妥珠单抗的研发及临床转化方面做出重要贡献。系统阐明了美妥珠抗肺癌的药理学机制。研究结果发表于Mol Cancer Ther</w:t>
            </w:r>
            <w:r>
              <w:rPr>
                <w:rFonts w:hint="eastAsia" w:ascii="Times New Roman"/>
                <w:sz w:val="21"/>
                <w:szCs w:val="21"/>
              </w:rPr>
              <w:t xml:space="preserve"> </w:t>
            </w:r>
            <w:r>
              <w:rPr>
                <w:rFonts w:ascii="Times New Roman"/>
                <w:sz w:val="21"/>
                <w:szCs w:val="21"/>
              </w:rPr>
              <w:t>2015（IF=5.579</w:t>
            </w:r>
            <w:r>
              <w:rPr>
                <w:rFonts w:hint="eastAsia" w:ascii="Times New Roman"/>
                <w:sz w:val="21"/>
                <w:szCs w:val="21"/>
              </w:rPr>
              <w:t>）</w:t>
            </w:r>
            <w:r>
              <w:rPr>
                <w:rFonts w:ascii="Times New Roman"/>
                <w:sz w:val="21"/>
                <w:szCs w:val="21"/>
              </w:rPr>
              <w:t>，获美妥珠单抗注射液临床研究批文</w:t>
            </w:r>
            <w:r>
              <w:rPr>
                <w:rFonts w:hint="eastAsia" w:ascii="Times New Roman"/>
                <w:sz w:val="21"/>
                <w:szCs w:val="21"/>
              </w:rPr>
              <w:t>（批件号：2015L00327）和美国专利授权（US 9 963 506）、国家发明专利授权（ZL201410320878.3）</w:t>
            </w:r>
            <w:r>
              <w:rPr>
                <w:rFonts w:ascii="Times New Roman"/>
                <w:sz w:val="21"/>
                <w:szCs w:val="21"/>
              </w:rPr>
              <w:t>。</w:t>
            </w:r>
          </w:p>
          <w:p>
            <w:pPr>
              <w:pStyle w:val="3"/>
              <w:spacing w:line="240" w:lineRule="auto"/>
              <w:ind w:firstLine="525" w:firstLineChars="250"/>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64" w:hRule="atLeast"/>
          <w:jc w:val="center"/>
        </w:trPr>
        <w:tc>
          <w:tcPr>
            <w:tcW w:w="9183" w:type="dxa"/>
            <w:gridSpan w:val="9"/>
          </w:tcPr>
          <w:p>
            <w:pPr>
              <w:pStyle w:val="3"/>
              <w:spacing w:line="276" w:lineRule="auto"/>
              <w:ind w:firstLine="0" w:firstLineChars="0"/>
              <w:rPr>
                <w:rFonts w:ascii="Times New Roman"/>
                <w:color w:val="000000"/>
                <w:sz w:val="21"/>
                <w:szCs w:val="21"/>
              </w:rPr>
            </w:pPr>
            <w:r>
              <w:rPr>
                <w:rFonts w:ascii="Times New Roman"/>
                <w:color w:val="000000"/>
                <w:sz w:val="21"/>
                <w:szCs w:val="21"/>
              </w:rPr>
              <w:t>曾获陕西省科技奖励情况：</w:t>
            </w:r>
            <w:r>
              <w:rPr>
                <w:rFonts w:hint="eastAsia" w:ascii="Times New Roman"/>
                <w:color w:val="000000"/>
                <w:sz w:val="21"/>
                <w:szCs w:val="21"/>
              </w:rPr>
              <w:t>无</w:t>
            </w:r>
          </w:p>
          <w:p>
            <w:pPr>
              <w:pStyle w:val="3"/>
              <w:tabs>
                <w:tab w:val="left" w:pos="5029"/>
                <w:tab w:val="left" w:pos="5157"/>
                <w:tab w:val="left" w:pos="5358"/>
              </w:tabs>
              <w:spacing w:line="276" w:lineRule="auto"/>
              <w:ind w:firstLine="0" w:firstLineChars="0"/>
              <w:rPr>
                <w:rFonts w:ascii="Times New Roman"/>
                <w:color w:val="000000"/>
                <w:sz w:val="21"/>
                <w:szCs w:val="21"/>
              </w:rPr>
            </w:pPr>
          </w:p>
          <w:p>
            <w:pPr>
              <w:pStyle w:val="3"/>
              <w:tabs>
                <w:tab w:val="left" w:pos="5029"/>
                <w:tab w:val="left" w:pos="5157"/>
                <w:tab w:val="left" w:pos="5358"/>
              </w:tabs>
              <w:spacing w:line="276" w:lineRule="auto"/>
              <w:ind w:firstLine="0" w:firstLineChars="0"/>
              <w:rPr>
                <w:rFonts w:ascii="Times New Roman"/>
                <w:color w:val="000000"/>
                <w:sz w:val="21"/>
                <w:szCs w:val="21"/>
              </w:rPr>
            </w:pPr>
            <w:r>
              <w:rPr>
                <w:rFonts w:ascii="Times New Roman"/>
                <w:color w:val="000000"/>
                <w:sz w:val="21"/>
                <w:szCs w:val="21"/>
              </w:rPr>
              <w:tab/>
            </w:r>
            <w:r>
              <w:rPr>
                <w:rFonts w:ascii="Times New Roman"/>
                <w:color w:val="000000"/>
                <w:sz w:val="21"/>
                <w:szCs w:val="21"/>
              </w:rPr>
              <w:tab/>
            </w:r>
          </w:p>
          <w:p>
            <w:pPr>
              <w:pStyle w:val="3"/>
              <w:ind w:firstLine="420"/>
              <w:rPr>
                <w:rFonts w:ascii="Times New Roman"/>
                <w:color w:val="000000"/>
                <w:sz w:val="21"/>
                <w:szCs w:val="21"/>
              </w:rPr>
            </w:pPr>
          </w:p>
        </w:tc>
      </w:tr>
    </w:tbl>
    <w:p/>
    <w:p>
      <w:pPr>
        <w:jc w:val="center"/>
        <w:outlineLvl w:val="1"/>
        <w:rPr>
          <w:b/>
          <w:sz w:val="28"/>
          <w:szCs w:val="28"/>
        </w:rPr>
      </w:pPr>
      <w:r>
        <w:rPr>
          <w:rFonts w:hint="eastAsia"/>
          <w:b/>
          <w:sz w:val="28"/>
          <w:szCs w:val="28"/>
        </w:rPr>
        <w:t>八</w:t>
      </w:r>
      <w:r>
        <w:rPr>
          <w:b/>
          <w:sz w:val="28"/>
          <w:szCs w:val="28"/>
        </w:rPr>
        <w:t>、主要完成单位情况表</w:t>
      </w:r>
    </w:p>
    <w:tbl>
      <w:tblPr>
        <w:tblStyle w:val="11"/>
        <w:tblW w:w="921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615"/>
        <w:gridCol w:w="1276"/>
        <w:gridCol w:w="16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pPr>
            <w:r>
              <w:t>单位名称</w:t>
            </w:r>
          </w:p>
        </w:tc>
        <w:tc>
          <w:tcPr>
            <w:tcW w:w="7700" w:type="dxa"/>
            <w:gridSpan w:val="5"/>
            <w:vAlign w:val="center"/>
          </w:tcPr>
          <w:p>
            <w:pPr>
              <w:spacing w:line="360" w:lineRule="exact"/>
              <w:jc w:val="center"/>
            </w:pPr>
            <w:r>
              <w:rPr>
                <w:color w:val="000000"/>
                <w:kern w:val="0"/>
                <w:szCs w:val="21"/>
              </w:rPr>
              <w:t>中国人民解放军空军军医大学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pPr>
            <w:r>
              <w:t>排    名</w:t>
            </w:r>
          </w:p>
        </w:tc>
        <w:tc>
          <w:tcPr>
            <w:tcW w:w="1834" w:type="dxa"/>
            <w:vAlign w:val="center"/>
          </w:tcPr>
          <w:p>
            <w:pPr>
              <w:spacing w:line="360" w:lineRule="exact"/>
              <w:jc w:val="center"/>
            </w:pPr>
            <w:r>
              <w:t>第一</w:t>
            </w:r>
          </w:p>
        </w:tc>
        <w:tc>
          <w:tcPr>
            <w:tcW w:w="1319" w:type="dxa"/>
            <w:vAlign w:val="center"/>
          </w:tcPr>
          <w:p>
            <w:pPr>
              <w:spacing w:line="360" w:lineRule="exact"/>
              <w:jc w:val="center"/>
            </w:pPr>
            <w:r>
              <w:t>法定代表人</w:t>
            </w:r>
          </w:p>
        </w:tc>
        <w:tc>
          <w:tcPr>
            <w:tcW w:w="1615" w:type="dxa"/>
            <w:vAlign w:val="center"/>
          </w:tcPr>
          <w:p>
            <w:pPr>
              <w:spacing w:line="360" w:lineRule="exact"/>
              <w:jc w:val="center"/>
            </w:pPr>
            <w:r>
              <w:t>周先志</w:t>
            </w:r>
          </w:p>
        </w:tc>
        <w:tc>
          <w:tcPr>
            <w:tcW w:w="1276" w:type="dxa"/>
            <w:vAlign w:val="center"/>
          </w:tcPr>
          <w:p>
            <w:pPr>
              <w:spacing w:line="280" w:lineRule="exact"/>
              <w:jc w:val="center"/>
            </w:pPr>
            <w:r>
              <w:t>所 在 地</w:t>
            </w:r>
          </w:p>
        </w:tc>
        <w:tc>
          <w:tcPr>
            <w:tcW w:w="1656" w:type="dxa"/>
            <w:vAlign w:val="center"/>
          </w:tcPr>
          <w:p>
            <w:pPr>
              <w:spacing w:line="360" w:lineRule="exact"/>
              <w:jc w:val="center"/>
            </w:pPr>
            <w: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pPr>
            <w:r>
              <w:t>单位性质</w:t>
            </w:r>
          </w:p>
        </w:tc>
        <w:tc>
          <w:tcPr>
            <w:tcW w:w="1834" w:type="dxa"/>
            <w:vAlign w:val="center"/>
          </w:tcPr>
          <w:p>
            <w:pPr>
              <w:spacing w:line="360" w:lineRule="exact"/>
              <w:jc w:val="center"/>
            </w:pPr>
            <w:r>
              <w:rPr>
                <w:rFonts w:hint="eastAsia"/>
                <w:color w:val="000000"/>
                <w:szCs w:val="21"/>
              </w:rPr>
              <w:t>学校</w:t>
            </w:r>
          </w:p>
        </w:tc>
        <w:tc>
          <w:tcPr>
            <w:tcW w:w="1319" w:type="dxa"/>
            <w:vAlign w:val="center"/>
          </w:tcPr>
          <w:p>
            <w:pPr>
              <w:spacing w:line="280" w:lineRule="exact"/>
              <w:jc w:val="center"/>
            </w:pPr>
            <w:r>
              <w:t>传   真</w:t>
            </w:r>
          </w:p>
        </w:tc>
        <w:tc>
          <w:tcPr>
            <w:tcW w:w="1615" w:type="dxa"/>
            <w:vAlign w:val="center"/>
          </w:tcPr>
          <w:p>
            <w:pPr>
              <w:spacing w:line="360" w:lineRule="exact"/>
              <w:jc w:val="center"/>
            </w:pPr>
          </w:p>
        </w:tc>
        <w:tc>
          <w:tcPr>
            <w:tcW w:w="1276" w:type="dxa"/>
            <w:vAlign w:val="center"/>
          </w:tcPr>
          <w:p>
            <w:pPr>
              <w:spacing w:line="280" w:lineRule="exact"/>
              <w:jc w:val="center"/>
            </w:pPr>
            <w:r>
              <w:t>邮政编码</w:t>
            </w:r>
          </w:p>
        </w:tc>
        <w:tc>
          <w:tcPr>
            <w:tcW w:w="1656" w:type="dxa"/>
            <w:vAlign w:val="center"/>
          </w:tcPr>
          <w:p>
            <w:pPr>
              <w:spacing w:line="360" w:lineRule="exact"/>
              <w:jc w:val="center"/>
            </w:pPr>
            <w: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pPr>
            <w:r>
              <w:t>通讯地址</w:t>
            </w:r>
          </w:p>
        </w:tc>
        <w:tc>
          <w:tcPr>
            <w:tcW w:w="7700" w:type="dxa"/>
            <w:gridSpan w:val="5"/>
            <w:vAlign w:val="center"/>
          </w:tcPr>
          <w:p>
            <w:pPr>
              <w:spacing w:line="360" w:lineRule="exact"/>
              <w:jc w:val="center"/>
            </w:pPr>
            <w:r>
              <w:t>陕西省西安市新城区长乐西路169号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pPr>
            <w:r>
              <w:t>联 系 人</w:t>
            </w:r>
          </w:p>
        </w:tc>
        <w:tc>
          <w:tcPr>
            <w:tcW w:w="1834" w:type="dxa"/>
            <w:vAlign w:val="center"/>
          </w:tcPr>
          <w:p>
            <w:pPr>
              <w:spacing w:line="360" w:lineRule="exact"/>
              <w:jc w:val="center"/>
            </w:pPr>
            <w:r>
              <w:t xml:space="preserve">王静 </w:t>
            </w:r>
          </w:p>
        </w:tc>
        <w:tc>
          <w:tcPr>
            <w:tcW w:w="1319" w:type="dxa"/>
            <w:vAlign w:val="center"/>
          </w:tcPr>
          <w:p>
            <w:pPr>
              <w:spacing w:line="280" w:lineRule="exact"/>
              <w:jc w:val="center"/>
            </w:pPr>
            <w:r>
              <w:t>单位电话</w:t>
            </w:r>
          </w:p>
        </w:tc>
        <w:tc>
          <w:tcPr>
            <w:tcW w:w="1615" w:type="dxa"/>
            <w:vAlign w:val="center"/>
          </w:tcPr>
          <w:p>
            <w:pPr>
              <w:spacing w:line="360" w:lineRule="exact"/>
              <w:jc w:val="center"/>
            </w:pPr>
          </w:p>
        </w:tc>
        <w:tc>
          <w:tcPr>
            <w:tcW w:w="1276" w:type="dxa"/>
            <w:vAlign w:val="center"/>
          </w:tcPr>
          <w:p>
            <w:pPr>
              <w:spacing w:line="280" w:lineRule="exact"/>
              <w:jc w:val="center"/>
            </w:pPr>
            <w:r>
              <w:t>移动电话</w:t>
            </w:r>
          </w:p>
        </w:tc>
        <w:tc>
          <w:tcPr>
            <w:tcW w:w="1656" w:type="dxa"/>
            <w:vAlign w:val="center"/>
          </w:tcPr>
          <w:p>
            <w:pPr>
              <w:spacing w:line="360" w:lineRule="exact"/>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pPr>
            <w:r>
              <w:t>电子邮箱</w:t>
            </w:r>
          </w:p>
        </w:tc>
        <w:tc>
          <w:tcPr>
            <w:tcW w:w="7700" w:type="dxa"/>
            <w:gridSpan w:val="5"/>
            <w:vAlign w:val="center"/>
          </w:tcPr>
          <w:p>
            <w:pPr>
              <w:spacing w:line="360" w:lineRule="exact"/>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51" w:hRule="atLeast"/>
          <w:jc w:val="center"/>
        </w:trPr>
        <w:tc>
          <w:tcPr>
            <w:tcW w:w="9211" w:type="dxa"/>
            <w:gridSpan w:val="6"/>
          </w:tcPr>
          <w:p>
            <w:pPr>
              <w:spacing w:line="360" w:lineRule="exact"/>
              <w:rPr>
                <w:sz w:val="25"/>
              </w:rPr>
            </w:pPr>
            <w:r>
              <w:rPr>
                <w:szCs w:val="21"/>
              </w:rPr>
              <w:t>对本项目主要学术贡献：</w:t>
            </w:r>
            <w:r>
              <w:rPr>
                <w:sz w:val="25"/>
              </w:rPr>
              <w:t xml:space="preserve"> </w:t>
            </w:r>
          </w:p>
          <w:p>
            <w:pPr>
              <w:spacing w:line="360" w:lineRule="exact"/>
              <w:rPr>
                <w:sz w:val="25"/>
              </w:rPr>
            </w:pPr>
          </w:p>
          <w:p>
            <w:pPr>
              <w:spacing w:line="360" w:lineRule="exact"/>
              <w:rPr>
                <w:sz w:val="25"/>
              </w:rPr>
            </w:pPr>
          </w:p>
          <w:p>
            <w:pPr>
              <w:autoSpaceDE w:val="0"/>
              <w:autoSpaceDN w:val="0"/>
              <w:adjustRightInd w:val="0"/>
              <w:ind w:firstLine="420" w:firstLineChars="200"/>
              <w:jc w:val="left"/>
              <w:rPr>
                <w:kern w:val="0"/>
                <w:sz w:val="20"/>
              </w:rPr>
            </w:pPr>
            <w:r>
              <w:rPr>
                <w:rFonts w:hint="eastAsia"/>
                <w:kern w:val="0"/>
                <w:szCs w:val="21"/>
              </w:rPr>
              <w:t>中国人民解放军</w:t>
            </w:r>
            <w:r>
              <w:rPr>
                <w:kern w:val="0"/>
                <w:szCs w:val="21"/>
              </w:rPr>
              <w:t>空军军医大学负责行政管理、组织实施该成果项目，包括相关课题、基金的申报、执行、中期检查、评估、结题验收、经费管理，并组织行政管理、后勤保障人员协作，协调研究人员在项目执行过程中的配备和保障，提供公共设施保障（包括仪器设备、水电气暖）等。同时指导专利申请，强化知识产权保护，提供整体支撑体系，保证本成果的实施和完成。</w:t>
            </w: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sz w:val="25"/>
              </w:rPr>
            </w:pPr>
          </w:p>
        </w:tc>
      </w:tr>
    </w:tbl>
    <w:p>
      <w:pPr>
        <w:pStyle w:val="3"/>
        <w:spacing w:line="390" w:lineRule="exact"/>
        <w:ind w:firstLine="0" w:firstLineChars="0"/>
        <w:jc w:val="center"/>
        <w:rPr>
          <w:rFonts w:ascii="Times New Roman"/>
          <w:b/>
          <w:sz w:val="28"/>
        </w:rPr>
      </w:pPr>
    </w:p>
    <w:p>
      <w:pPr>
        <w:widowControl/>
        <w:jc w:val="center"/>
        <w:rPr>
          <w:b/>
          <w:sz w:val="28"/>
        </w:rPr>
      </w:pPr>
      <w:r>
        <w:rPr>
          <w:rFonts w:hint="eastAsia"/>
          <w:b/>
          <w:sz w:val="28"/>
        </w:rPr>
        <w:t>九、完成人合作关系说明</w:t>
      </w:r>
    </w:p>
    <w:p>
      <w:pPr>
        <w:spacing w:line="360" w:lineRule="exact"/>
        <w:ind w:firstLine="480" w:firstLineChars="200"/>
        <w:rPr>
          <w:sz w:val="24"/>
          <w:szCs w:val="24"/>
        </w:rPr>
      </w:pPr>
      <w:r>
        <w:rPr>
          <w:rFonts w:hint="eastAsia"/>
          <w:color w:val="000000"/>
          <w:kern w:val="0"/>
          <w:sz w:val="24"/>
          <w:szCs w:val="24"/>
        </w:rPr>
        <w:t>边惠洁、陈志南、蒋建利、孔令敏及张征均为空军军医大学基础医学院细胞生物学教研室</w:t>
      </w:r>
      <w:r>
        <w:rPr>
          <w:color w:val="000000"/>
          <w:kern w:val="0"/>
          <w:sz w:val="24"/>
          <w:szCs w:val="24"/>
        </w:rPr>
        <w:t>/</w:t>
      </w:r>
      <w:r>
        <w:rPr>
          <w:rFonts w:hint="eastAsia"/>
          <w:color w:val="000000"/>
          <w:kern w:val="0"/>
          <w:sz w:val="24"/>
          <w:szCs w:val="24"/>
        </w:rPr>
        <w:t>国家分子医学转化中心人员。边惠洁、邢金良、蒋建利、孔令敏及张征均为陈志南的学生。</w:t>
      </w:r>
    </w:p>
    <w:p>
      <w:pPr>
        <w:spacing w:line="360" w:lineRule="exact"/>
        <w:ind w:firstLine="480" w:firstLineChars="200"/>
        <w:rPr>
          <w:sz w:val="24"/>
          <w:szCs w:val="24"/>
        </w:rPr>
      </w:pPr>
      <w:r>
        <w:rPr>
          <w:rFonts w:hint="eastAsia"/>
          <w:sz w:val="24"/>
          <w:szCs w:val="24"/>
        </w:rPr>
        <w:t>边惠洁、陈志南对该项目</w:t>
      </w:r>
      <w:r>
        <w:rPr>
          <w:sz w:val="24"/>
          <w:szCs w:val="24"/>
        </w:rPr>
        <w:t>“</w:t>
      </w:r>
      <w:r>
        <w:rPr>
          <w:rFonts w:hint="eastAsia"/>
          <w:sz w:val="24"/>
          <w:szCs w:val="24"/>
        </w:rPr>
        <w:t>重要科学发现</w:t>
      </w:r>
      <w:r>
        <w:rPr>
          <w:sz w:val="24"/>
          <w:szCs w:val="24"/>
        </w:rPr>
        <w:t>”</w:t>
      </w:r>
      <w:r>
        <w:rPr>
          <w:rFonts w:hint="eastAsia"/>
          <w:sz w:val="24"/>
          <w:szCs w:val="24"/>
        </w:rPr>
        <w:t>中第</w:t>
      </w:r>
      <w:r>
        <w:rPr>
          <w:sz w:val="24"/>
          <w:szCs w:val="24"/>
        </w:rPr>
        <w:t>2</w:t>
      </w:r>
      <w:r>
        <w:rPr>
          <w:rFonts w:hint="eastAsia"/>
          <w:sz w:val="24"/>
          <w:szCs w:val="24"/>
        </w:rPr>
        <w:t>项做出了创新性贡献。边惠洁是代表性论文</w:t>
      </w:r>
      <w:r>
        <w:rPr>
          <w:sz w:val="24"/>
          <w:szCs w:val="24"/>
        </w:rPr>
        <w:t>5</w:t>
      </w:r>
      <w:r>
        <w:rPr>
          <w:rFonts w:hint="eastAsia"/>
          <w:sz w:val="24"/>
          <w:szCs w:val="24"/>
        </w:rPr>
        <w:t>通讯作者、陈志南为共同通讯作者。他们的研究发现了</w:t>
      </w:r>
      <w:r>
        <w:rPr>
          <w:sz w:val="24"/>
          <w:szCs w:val="24"/>
        </w:rPr>
        <w:t>CD147</w:t>
      </w:r>
      <w:r>
        <w:rPr>
          <w:rFonts w:hint="eastAsia"/>
          <w:sz w:val="24"/>
          <w:szCs w:val="24"/>
        </w:rPr>
        <w:t>促进癌细胞恶性行为的分子机制。首次系统阐明肝细胞中</w:t>
      </w:r>
      <w:r>
        <w:rPr>
          <w:sz w:val="24"/>
          <w:szCs w:val="24"/>
        </w:rPr>
        <w:t>TGF-β1</w:t>
      </w:r>
      <w:r>
        <w:rPr>
          <w:rFonts w:hint="eastAsia"/>
          <w:sz w:val="24"/>
          <w:szCs w:val="24"/>
        </w:rPr>
        <w:t>上调</w:t>
      </w:r>
      <w:r>
        <w:rPr>
          <w:sz w:val="24"/>
          <w:szCs w:val="24"/>
        </w:rPr>
        <w:t>CD147</w:t>
      </w:r>
      <w:r>
        <w:rPr>
          <w:rFonts w:hint="eastAsia"/>
          <w:sz w:val="24"/>
          <w:szCs w:val="24"/>
        </w:rPr>
        <w:t>，并通过</w:t>
      </w:r>
      <w:r>
        <w:rPr>
          <w:sz w:val="24"/>
          <w:szCs w:val="24"/>
        </w:rPr>
        <w:t>β-catenin</w:t>
      </w:r>
      <w:r>
        <w:rPr>
          <w:rFonts w:hint="eastAsia"/>
          <w:sz w:val="24"/>
          <w:szCs w:val="24"/>
        </w:rPr>
        <w:t>和</w:t>
      </w:r>
      <w:r>
        <w:rPr>
          <w:sz w:val="24"/>
          <w:szCs w:val="24"/>
        </w:rPr>
        <w:t>MMP</w:t>
      </w:r>
      <w:r>
        <w:rPr>
          <w:rFonts w:hint="eastAsia"/>
          <w:sz w:val="24"/>
          <w:szCs w:val="24"/>
        </w:rPr>
        <w:t>正反馈</w:t>
      </w:r>
      <w:r>
        <w:rPr>
          <w:sz w:val="24"/>
          <w:szCs w:val="24"/>
        </w:rPr>
        <w:t>TGF-β1</w:t>
      </w:r>
      <w:r>
        <w:rPr>
          <w:rFonts w:hint="eastAsia"/>
          <w:sz w:val="24"/>
          <w:szCs w:val="24"/>
        </w:rPr>
        <w:t>介导</w:t>
      </w:r>
      <w:r>
        <w:rPr>
          <w:sz w:val="24"/>
          <w:szCs w:val="24"/>
        </w:rPr>
        <w:t>EMT</w:t>
      </w:r>
      <w:r>
        <w:rPr>
          <w:rFonts w:hint="eastAsia"/>
          <w:sz w:val="24"/>
          <w:szCs w:val="24"/>
        </w:rPr>
        <w:t>和去分化，促进肝癌发展。研究结果发表于</w:t>
      </w:r>
      <w:r>
        <w:rPr>
          <w:sz w:val="24"/>
          <w:szCs w:val="24"/>
        </w:rPr>
        <w:t>Oncogene</w:t>
      </w:r>
      <w:r>
        <w:rPr>
          <w:rFonts w:hint="eastAsia"/>
          <w:sz w:val="24"/>
          <w:szCs w:val="24"/>
        </w:rPr>
        <w:t>（</w:t>
      </w:r>
      <w:r>
        <w:rPr>
          <w:sz w:val="24"/>
          <w:szCs w:val="24"/>
        </w:rPr>
        <w:t>2016 IF=7.519</w:t>
      </w:r>
      <w:r>
        <w:rPr>
          <w:rFonts w:hint="eastAsia"/>
          <w:sz w:val="24"/>
          <w:szCs w:val="24"/>
        </w:rPr>
        <w:t>）。</w:t>
      </w:r>
    </w:p>
    <w:p>
      <w:pPr>
        <w:tabs>
          <w:tab w:val="left" w:pos="426"/>
        </w:tabs>
        <w:autoSpaceDE w:val="0"/>
        <w:autoSpaceDN w:val="0"/>
        <w:adjustRightInd w:val="0"/>
        <w:spacing w:before="40" w:after="40" w:line="360" w:lineRule="exact"/>
        <w:ind w:firstLine="480" w:firstLineChars="200"/>
        <w:rPr>
          <w:sz w:val="24"/>
          <w:szCs w:val="24"/>
        </w:rPr>
      </w:pPr>
      <w:r>
        <w:rPr>
          <w:rFonts w:hint="eastAsia"/>
          <w:sz w:val="24"/>
          <w:szCs w:val="24"/>
        </w:rPr>
        <w:t>边惠洁、邢金良、陈志南和孔令敏对该项目</w:t>
      </w:r>
      <w:r>
        <w:rPr>
          <w:sz w:val="24"/>
          <w:szCs w:val="24"/>
        </w:rPr>
        <w:t>“</w:t>
      </w:r>
      <w:r>
        <w:rPr>
          <w:rFonts w:hint="eastAsia"/>
          <w:sz w:val="24"/>
          <w:szCs w:val="24"/>
        </w:rPr>
        <w:t>重要科学发现</w:t>
      </w:r>
      <w:r>
        <w:rPr>
          <w:sz w:val="24"/>
          <w:szCs w:val="24"/>
        </w:rPr>
        <w:t>”</w:t>
      </w:r>
      <w:r>
        <w:rPr>
          <w:rFonts w:hint="eastAsia"/>
          <w:sz w:val="24"/>
          <w:szCs w:val="24"/>
        </w:rPr>
        <w:t>中第</w:t>
      </w:r>
      <w:r>
        <w:rPr>
          <w:sz w:val="24"/>
          <w:szCs w:val="24"/>
        </w:rPr>
        <w:t>3</w:t>
      </w:r>
      <w:r>
        <w:rPr>
          <w:rFonts w:hint="eastAsia"/>
          <w:sz w:val="24"/>
          <w:szCs w:val="24"/>
        </w:rPr>
        <w:t>项做出了创新性贡献。孔令敏是代表性论文</w:t>
      </w:r>
      <w:r>
        <w:rPr>
          <w:sz w:val="24"/>
          <w:szCs w:val="24"/>
        </w:rPr>
        <w:t>4</w:t>
      </w:r>
      <w:r>
        <w:rPr>
          <w:rFonts w:hint="eastAsia"/>
          <w:sz w:val="24"/>
          <w:szCs w:val="24"/>
        </w:rPr>
        <w:t>、</w:t>
      </w:r>
      <w:r>
        <w:rPr>
          <w:sz w:val="24"/>
          <w:szCs w:val="24"/>
        </w:rPr>
        <w:t>8</w:t>
      </w:r>
      <w:r>
        <w:rPr>
          <w:rFonts w:hint="eastAsia"/>
          <w:sz w:val="24"/>
          <w:szCs w:val="24"/>
        </w:rPr>
        <w:t>的第一作者、边惠洁为代表性论文</w:t>
      </w:r>
      <w:r>
        <w:rPr>
          <w:sz w:val="24"/>
          <w:szCs w:val="24"/>
        </w:rPr>
        <w:t>4</w:t>
      </w:r>
      <w:r>
        <w:rPr>
          <w:rFonts w:hint="eastAsia"/>
          <w:sz w:val="24"/>
          <w:szCs w:val="24"/>
        </w:rPr>
        <w:t>的共同通讯作者、邢金良为代表性论文</w:t>
      </w:r>
      <w:r>
        <w:rPr>
          <w:sz w:val="24"/>
          <w:szCs w:val="24"/>
        </w:rPr>
        <w:t>8</w:t>
      </w:r>
      <w:r>
        <w:rPr>
          <w:rFonts w:hint="eastAsia"/>
          <w:sz w:val="24"/>
          <w:szCs w:val="24"/>
        </w:rPr>
        <w:t>的共同通讯作者、陈志南为代表性论文</w:t>
      </w:r>
      <w:r>
        <w:rPr>
          <w:sz w:val="24"/>
          <w:szCs w:val="24"/>
        </w:rPr>
        <w:t>4</w:t>
      </w:r>
      <w:r>
        <w:rPr>
          <w:rFonts w:hint="eastAsia"/>
          <w:sz w:val="24"/>
          <w:szCs w:val="24"/>
        </w:rPr>
        <w:t>、</w:t>
      </w:r>
      <w:r>
        <w:rPr>
          <w:sz w:val="24"/>
          <w:szCs w:val="24"/>
        </w:rPr>
        <w:t>8</w:t>
      </w:r>
      <w:r>
        <w:rPr>
          <w:rFonts w:hint="eastAsia"/>
          <w:sz w:val="24"/>
          <w:szCs w:val="24"/>
        </w:rPr>
        <w:t>的通讯作者。他们的研究首次阐明癌相关抗原</w:t>
      </w:r>
      <w:r>
        <w:rPr>
          <w:sz w:val="24"/>
          <w:szCs w:val="24"/>
        </w:rPr>
        <w:t>CD147</w:t>
      </w:r>
      <w:r>
        <w:rPr>
          <w:rFonts w:hint="eastAsia"/>
          <w:sz w:val="24"/>
          <w:szCs w:val="24"/>
        </w:rPr>
        <w:t>表达调控机制。代表性论文</w:t>
      </w:r>
      <w:r>
        <w:rPr>
          <w:sz w:val="24"/>
          <w:szCs w:val="24"/>
        </w:rPr>
        <w:t>8</w:t>
      </w:r>
      <w:r>
        <w:rPr>
          <w:rFonts w:hint="eastAsia"/>
          <w:sz w:val="24"/>
          <w:szCs w:val="24"/>
        </w:rPr>
        <w:t>中首次阐明了肝癌中</w:t>
      </w:r>
      <w:r>
        <w:rPr>
          <w:sz w:val="24"/>
          <w:szCs w:val="24"/>
        </w:rPr>
        <w:t>CD147</w:t>
      </w:r>
      <w:r>
        <w:rPr>
          <w:rFonts w:hint="eastAsia"/>
          <w:sz w:val="24"/>
          <w:szCs w:val="24"/>
        </w:rPr>
        <w:t>启动子低甲基化（</w:t>
      </w:r>
      <w:r>
        <w:rPr>
          <w:sz w:val="24"/>
          <w:szCs w:val="24"/>
        </w:rPr>
        <w:t>-340~+37, 46CpG</w:t>
      </w:r>
      <w:r>
        <w:rPr>
          <w:rFonts w:hint="eastAsia"/>
          <w:sz w:val="24"/>
          <w:szCs w:val="24"/>
        </w:rPr>
        <w:t>）提升</w:t>
      </w:r>
      <w:r>
        <w:rPr>
          <w:sz w:val="24"/>
          <w:szCs w:val="24"/>
        </w:rPr>
        <w:t>SP1</w:t>
      </w:r>
      <w:r>
        <w:rPr>
          <w:rFonts w:hint="eastAsia"/>
          <w:sz w:val="24"/>
          <w:szCs w:val="24"/>
        </w:rPr>
        <w:t>结合位点活性，促进</w:t>
      </w:r>
      <w:r>
        <w:rPr>
          <w:sz w:val="24"/>
          <w:szCs w:val="24"/>
        </w:rPr>
        <w:t>CD147</w:t>
      </w:r>
      <w:r>
        <w:rPr>
          <w:rFonts w:hint="eastAsia"/>
          <w:sz w:val="24"/>
          <w:szCs w:val="24"/>
        </w:rPr>
        <w:t>高表达、与肝癌预后差相关。代表性论文</w:t>
      </w:r>
      <w:r>
        <w:rPr>
          <w:sz w:val="24"/>
          <w:szCs w:val="24"/>
        </w:rPr>
        <w:t>5</w:t>
      </w:r>
      <w:r>
        <w:rPr>
          <w:rFonts w:hint="eastAsia"/>
          <w:sz w:val="24"/>
          <w:szCs w:val="24"/>
        </w:rPr>
        <w:t>中首次阐明了</w:t>
      </w:r>
      <w:r>
        <w:rPr>
          <w:sz w:val="24"/>
          <w:szCs w:val="24"/>
        </w:rPr>
        <w:t>miR-22/Sp1/c-Myc</w:t>
      </w:r>
      <w:r>
        <w:rPr>
          <w:rFonts w:hint="eastAsia"/>
          <w:sz w:val="24"/>
          <w:szCs w:val="24"/>
        </w:rPr>
        <w:t>调控</w:t>
      </w:r>
      <w:r>
        <w:rPr>
          <w:sz w:val="24"/>
          <w:szCs w:val="24"/>
        </w:rPr>
        <w:t>CD147</w:t>
      </w:r>
      <w:r>
        <w:rPr>
          <w:rFonts w:hint="eastAsia"/>
          <w:sz w:val="24"/>
          <w:szCs w:val="24"/>
        </w:rPr>
        <w:t>表达的分子机制。研究结果发表于</w:t>
      </w:r>
      <w:r>
        <w:rPr>
          <w:sz w:val="24"/>
          <w:szCs w:val="24"/>
        </w:rPr>
        <w:t>Cancer Res</w:t>
      </w:r>
      <w:r>
        <w:rPr>
          <w:rFonts w:hint="eastAsia"/>
          <w:sz w:val="24"/>
          <w:szCs w:val="24"/>
        </w:rPr>
        <w:t>（</w:t>
      </w:r>
      <w:r>
        <w:rPr>
          <w:sz w:val="24"/>
          <w:szCs w:val="24"/>
        </w:rPr>
        <w:t>2014 IF=9.329</w:t>
      </w:r>
      <w:r>
        <w:rPr>
          <w:rFonts w:hint="eastAsia"/>
          <w:sz w:val="24"/>
          <w:szCs w:val="24"/>
        </w:rPr>
        <w:t>）和</w:t>
      </w:r>
      <w:r>
        <w:rPr>
          <w:sz w:val="24"/>
          <w:szCs w:val="24"/>
        </w:rPr>
        <w:t>J Cell Mol Med</w:t>
      </w:r>
      <w:r>
        <w:rPr>
          <w:rFonts w:hint="eastAsia"/>
          <w:sz w:val="24"/>
          <w:szCs w:val="24"/>
        </w:rPr>
        <w:t>（</w:t>
      </w:r>
      <w:r>
        <w:rPr>
          <w:sz w:val="24"/>
          <w:szCs w:val="24"/>
        </w:rPr>
        <w:t>2011 IF=4.608</w:t>
      </w:r>
      <w:r>
        <w:rPr>
          <w:rFonts w:hint="eastAsia"/>
          <w:sz w:val="24"/>
          <w:szCs w:val="24"/>
        </w:rPr>
        <w:t>）。</w:t>
      </w:r>
    </w:p>
    <w:p>
      <w:pPr>
        <w:spacing w:line="360" w:lineRule="exact"/>
        <w:ind w:firstLine="480" w:firstLineChars="200"/>
        <w:rPr>
          <w:sz w:val="24"/>
          <w:szCs w:val="24"/>
        </w:rPr>
      </w:pPr>
      <w:r>
        <w:rPr>
          <w:rFonts w:hint="eastAsia"/>
          <w:sz w:val="24"/>
          <w:szCs w:val="24"/>
        </w:rPr>
        <w:t>邢金良、陈志南对该项目</w:t>
      </w:r>
      <w:r>
        <w:rPr>
          <w:sz w:val="24"/>
          <w:szCs w:val="24"/>
        </w:rPr>
        <w:t>“</w:t>
      </w:r>
      <w:r>
        <w:rPr>
          <w:rFonts w:hint="eastAsia"/>
          <w:sz w:val="24"/>
          <w:szCs w:val="24"/>
        </w:rPr>
        <w:t>重要科学发现</w:t>
      </w:r>
      <w:r>
        <w:rPr>
          <w:sz w:val="24"/>
          <w:szCs w:val="24"/>
        </w:rPr>
        <w:t>”</w:t>
      </w:r>
      <w:r>
        <w:rPr>
          <w:rFonts w:hint="eastAsia"/>
          <w:sz w:val="24"/>
          <w:szCs w:val="24"/>
        </w:rPr>
        <w:t>中第</w:t>
      </w:r>
      <w:r>
        <w:rPr>
          <w:sz w:val="24"/>
          <w:szCs w:val="24"/>
        </w:rPr>
        <w:t>1</w:t>
      </w:r>
      <w:r>
        <w:rPr>
          <w:rFonts w:hint="eastAsia"/>
          <w:sz w:val="24"/>
          <w:szCs w:val="24"/>
        </w:rPr>
        <w:t>项做出了创新性贡献。邢金良是代表性论文</w:t>
      </w:r>
      <w:r>
        <w:rPr>
          <w:sz w:val="24"/>
          <w:szCs w:val="24"/>
        </w:rPr>
        <w:t>3</w:t>
      </w:r>
      <w:r>
        <w:rPr>
          <w:rFonts w:hint="eastAsia"/>
          <w:sz w:val="24"/>
          <w:szCs w:val="24"/>
        </w:rPr>
        <w:t>的通讯作者、陈志南为作者。他们的研究首次系统阐明</w:t>
      </w:r>
      <w:r>
        <w:rPr>
          <w:sz w:val="24"/>
          <w:szCs w:val="24"/>
        </w:rPr>
        <w:t>CD147→AKT/mTOR→SREBP1c</w:t>
      </w:r>
      <w:r>
        <w:rPr>
          <w:rFonts w:hint="eastAsia"/>
          <w:sz w:val="24"/>
          <w:szCs w:val="24"/>
        </w:rPr>
        <w:t>肝癌细胞脂肪酸代谢通路。研究结果发表于</w:t>
      </w:r>
      <w:r>
        <w:rPr>
          <w:sz w:val="24"/>
          <w:szCs w:val="24"/>
        </w:rPr>
        <w:t>J Hepatol</w:t>
      </w:r>
      <w:r>
        <w:rPr>
          <w:rFonts w:hint="eastAsia"/>
          <w:sz w:val="24"/>
          <w:szCs w:val="24"/>
        </w:rPr>
        <w:t>（</w:t>
      </w:r>
      <w:r>
        <w:rPr>
          <w:sz w:val="24"/>
          <w:szCs w:val="24"/>
        </w:rPr>
        <w:t>2015 IF=10.590</w:t>
      </w:r>
      <w:r>
        <w:rPr>
          <w:rFonts w:hint="eastAsia"/>
          <w:sz w:val="24"/>
          <w:szCs w:val="24"/>
        </w:rPr>
        <w:t>）。</w:t>
      </w:r>
    </w:p>
    <w:p>
      <w:pPr>
        <w:spacing w:line="360" w:lineRule="exact"/>
        <w:ind w:firstLine="480" w:firstLineChars="200"/>
        <w:rPr>
          <w:sz w:val="24"/>
          <w:szCs w:val="24"/>
        </w:rPr>
      </w:pPr>
      <w:r>
        <w:rPr>
          <w:rFonts w:hint="eastAsia"/>
          <w:sz w:val="24"/>
          <w:szCs w:val="24"/>
        </w:rPr>
        <w:t>蒋建利、陈志南对该项目</w:t>
      </w:r>
      <w:r>
        <w:rPr>
          <w:sz w:val="24"/>
          <w:szCs w:val="24"/>
        </w:rPr>
        <w:t>“</w:t>
      </w:r>
      <w:r>
        <w:rPr>
          <w:rFonts w:hint="eastAsia"/>
          <w:sz w:val="24"/>
          <w:szCs w:val="24"/>
        </w:rPr>
        <w:t>重要科学发现</w:t>
      </w:r>
      <w:r>
        <w:rPr>
          <w:sz w:val="24"/>
          <w:szCs w:val="24"/>
        </w:rPr>
        <w:t>”</w:t>
      </w:r>
      <w:r>
        <w:rPr>
          <w:rFonts w:hint="eastAsia"/>
          <w:sz w:val="24"/>
          <w:szCs w:val="24"/>
        </w:rPr>
        <w:t>中第</w:t>
      </w:r>
      <w:r>
        <w:rPr>
          <w:sz w:val="24"/>
          <w:szCs w:val="24"/>
        </w:rPr>
        <w:t>1</w:t>
      </w:r>
      <w:r>
        <w:rPr>
          <w:rFonts w:hint="eastAsia"/>
          <w:sz w:val="24"/>
          <w:szCs w:val="24"/>
        </w:rPr>
        <w:t>、</w:t>
      </w:r>
      <w:r>
        <w:rPr>
          <w:sz w:val="24"/>
          <w:szCs w:val="24"/>
        </w:rPr>
        <w:t>2</w:t>
      </w:r>
      <w:r>
        <w:rPr>
          <w:rFonts w:hint="eastAsia"/>
          <w:sz w:val="24"/>
          <w:szCs w:val="24"/>
        </w:rPr>
        <w:t>项做出了创新性贡献。陈志南是代表性论文</w:t>
      </w:r>
      <w:r>
        <w:rPr>
          <w:sz w:val="24"/>
          <w:szCs w:val="24"/>
        </w:rPr>
        <w:t>2</w:t>
      </w:r>
      <w:r>
        <w:rPr>
          <w:rFonts w:hint="eastAsia"/>
          <w:sz w:val="24"/>
          <w:szCs w:val="24"/>
        </w:rPr>
        <w:t>、</w:t>
      </w:r>
      <w:r>
        <w:rPr>
          <w:sz w:val="24"/>
          <w:szCs w:val="24"/>
        </w:rPr>
        <w:t>6</w:t>
      </w:r>
      <w:r>
        <w:rPr>
          <w:rFonts w:hint="eastAsia"/>
          <w:sz w:val="24"/>
          <w:szCs w:val="24"/>
        </w:rPr>
        <w:t>的通讯作者、蒋建利为共同通讯作者。蒋建利是代表性论文</w:t>
      </w:r>
      <w:r>
        <w:rPr>
          <w:sz w:val="24"/>
          <w:szCs w:val="24"/>
        </w:rPr>
        <w:t>7</w:t>
      </w:r>
      <w:r>
        <w:rPr>
          <w:rFonts w:hint="eastAsia"/>
          <w:sz w:val="24"/>
          <w:szCs w:val="24"/>
        </w:rPr>
        <w:t>的通讯作者、陈志南为共同通讯作者。他们的研究首次系统阐明</w:t>
      </w:r>
      <w:r>
        <w:rPr>
          <w:sz w:val="24"/>
          <w:szCs w:val="24"/>
        </w:rPr>
        <w:t>CD147→ PI3K/Akt→ MDM2→ P53→ TIGAR</w:t>
      </w:r>
      <w:r>
        <w:rPr>
          <w:rFonts w:hint="eastAsia"/>
          <w:sz w:val="24"/>
          <w:szCs w:val="24"/>
        </w:rPr>
        <w:t>和</w:t>
      </w:r>
      <w:r>
        <w:rPr>
          <w:sz w:val="24"/>
          <w:szCs w:val="24"/>
        </w:rPr>
        <w:t>GLUT1</w:t>
      </w:r>
      <w:r>
        <w:rPr>
          <w:rFonts w:hint="eastAsia"/>
          <w:sz w:val="24"/>
          <w:szCs w:val="24"/>
        </w:rPr>
        <w:t>肝癌细胞糖代谢重编程通路。研究结果发表于</w:t>
      </w:r>
      <w:r>
        <w:rPr>
          <w:sz w:val="24"/>
          <w:szCs w:val="24"/>
        </w:rPr>
        <w:t>J Hepatol</w:t>
      </w:r>
      <w:r>
        <w:rPr>
          <w:rFonts w:hint="eastAsia"/>
          <w:sz w:val="24"/>
          <w:szCs w:val="24"/>
        </w:rPr>
        <w:t>（</w:t>
      </w:r>
      <w:r>
        <w:rPr>
          <w:sz w:val="24"/>
          <w:szCs w:val="24"/>
        </w:rPr>
        <w:t>2014 IF=11.336</w:t>
      </w:r>
      <w:r>
        <w:rPr>
          <w:rFonts w:hint="eastAsia"/>
          <w:sz w:val="24"/>
          <w:szCs w:val="24"/>
        </w:rPr>
        <w:t>）。研究发现了</w:t>
      </w:r>
      <w:r>
        <w:rPr>
          <w:sz w:val="24"/>
          <w:szCs w:val="24"/>
        </w:rPr>
        <w:t>CD147</w:t>
      </w:r>
      <w:r>
        <w:rPr>
          <w:rFonts w:hint="eastAsia"/>
          <w:sz w:val="24"/>
          <w:szCs w:val="24"/>
        </w:rPr>
        <w:t>促进癌细胞恶性行为和放疗抵抗的分子机制。首次发现</w:t>
      </w:r>
      <w:r>
        <w:rPr>
          <w:sz w:val="24"/>
          <w:szCs w:val="24"/>
        </w:rPr>
        <w:t>CD147</w:t>
      </w:r>
      <w:r>
        <w:rPr>
          <w:rFonts w:hint="eastAsia"/>
          <w:sz w:val="24"/>
          <w:szCs w:val="24"/>
        </w:rPr>
        <w:t>通过与</w:t>
      </w:r>
      <w:r>
        <w:rPr>
          <w:sz w:val="24"/>
          <w:szCs w:val="24"/>
        </w:rPr>
        <w:t>integrin β1</w:t>
      </w:r>
      <w:r>
        <w:rPr>
          <w:rFonts w:hint="eastAsia"/>
          <w:sz w:val="24"/>
          <w:szCs w:val="24"/>
        </w:rPr>
        <w:t>相互作用增强肝癌细胞放疗抵抗，</w:t>
      </w:r>
      <w:r>
        <w:rPr>
          <w:sz w:val="24"/>
          <w:szCs w:val="24"/>
        </w:rPr>
        <w:t>HcHAb18</w:t>
      </w:r>
      <w:r>
        <w:rPr>
          <w:rFonts w:hint="eastAsia"/>
          <w:sz w:val="24"/>
          <w:szCs w:val="24"/>
        </w:rPr>
        <w:t>抗体提高放疗敏感性。研究结果发表于</w:t>
      </w:r>
      <w:r>
        <w:rPr>
          <w:sz w:val="24"/>
          <w:szCs w:val="24"/>
        </w:rPr>
        <w:t>Mol Cancer Ther</w:t>
      </w:r>
      <w:r>
        <w:rPr>
          <w:rFonts w:hint="eastAsia"/>
          <w:sz w:val="24"/>
          <w:szCs w:val="24"/>
        </w:rPr>
        <w:t>（</w:t>
      </w:r>
      <w:r>
        <w:rPr>
          <w:sz w:val="24"/>
          <w:szCs w:val="24"/>
        </w:rPr>
        <w:t>2015 IF=5.579</w:t>
      </w:r>
      <w:r>
        <w:rPr>
          <w:rFonts w:hint="eastAsia"/>
          <w:sz w:val="24"/>
          <w:szCs w:val="24"/>
        </w:rPr>
        <w:t>）和</w:t>
      </w:r>
      <w:r>
        <w:rPr>
          <w:sz w:val="24"/>
          <w:szCs w:val="24"/>
        </w:rPr>
        <w:t>J Biol Chem</w:t>
      </w:r>
      <w:r>
        <w:rPr>
          <w:rFonts w:hint="eastAsia"/>
          <w:sz w:val="24"/>
          <w:szCs w:val="24"/>
        </w:rPr>
        <w:t>（</w:t>
      </w:r>
      <w:r>
        <w:rPr>
          <w:sz w:val="24"/>
          <w:szCs w:val="24"/>
        </w:rPr>
        <w:t>2012 IF= 4.773</w:t>
      </w:r>
      <w:r>
        <w:rPr>
          <w:rFonts w:hint="eastAsia"/>
          <w:sz w:val="24"/>
          <w:szCs w:val="24"/>
        </w:rPr>
        <w:t>）。</w:t>
      </w:r>
    </w:p>
    <w:p>
      <w:pPr>
        <w:spacing w:line="360" w:lineRule="exact"/>
        <w:ind w:firstLine="480" w:firstLineChars="200"/>
        <w:rPr>
          <w:sz w:val="24"/>
          <w:szCs w:val="24"/>
        </w:rPr>
      </w:pPr>
      <w:r>
        <w:rPr>
          <w:rFonts w:hint="eastAsia"/>
          <w:sz w:val="24"/>
          <w:szCs w:val="24"/>
        </w:rPr>
        <w:t>边惠洁、陈志南、蒋建利、张征对该项目</w:t>
      </w:r>
      <w:r>
        <w:rPr>
          <w:sz w:val="24"/>
          <w:szCs w:val="24"/>
        </w:rPr>
        <w:t>“</w:t>
      </w:r>
      <w:r>
        <w:rPr>
          <w:rFonts w:hint="eastAsia"/>
          <w:sz w:val="24"/>
          <w:szCs w:val="24"/>
        </w:rPr>
        <w:t>重要科学发现</w:t>
      </w:r>
      <w:r>
        <w:rPr>
          <w:sz w:val="24"/>
          <w:szCs w:val="24"/>
        </w:rPr>
        <w:t>”</w:t>
      </w:r>
      <w:r>
        <w:rPr>
          <w:rFonts w:hint="eastAsia"/>
          <w:sz w:val="24"/>
          <w:szCs w:val="24"/>
        </w:rPr>
        <w:t>中第</w:t>
      </w:r>
      <w:r>
        <w:rPr>
          <w:sz w:val="24"/>
          <w:szCs w:val="24"/>
        </w:rPr>
        <w:t>4</w:t>
      </w:r>
      <w:r>
        <w:rPr>
          <w:rFonts w:hint="eastAsia"/>
          <w:sz w:val="24"/>
          <w:szCs w:val="24"/>
        </w:rPr>
        <w:t>项做出了创新性贡献。系统阐明了美妥珠抗肺癌的药理学机制，实现了以</w:t>
      </w:r>
      <w:r>
        <w:rPr>
          <w:sz w:val="24"/>
          <w:szCs w:val="24"/>
        </w:rPr>
        <w:t>CD147</w:t>
      </w:r>
      <w:r>
        <w:rPr>
          <w:rFonts w:hint="eastAsia"/>
          <w:sz w:val="24"/>
          <w:szCs w:val="24"/>
        </w:rPr>
        <w:t>为靶点的人源化美妥珠单抗的研发及临床转化，并获得临床研究批文（批号</w:t>
      </w:r>
      <w:r>
        <w:rPr>
          <w:sz w:val="24"/>
          <w:szCs w:val="24"/>
        </w:rPr>
        <w:t>2015L00327</w:t>
      </w:r>
      <w:r>
        <w:rPr>
          <w:rFonts w:hint="eastAsia"/>
          <w:sz w:val="24"/>
          <w:szCs w:val="24"/>
        </w:rPr>
        <w:t>）。</w:t>
      </w:r>
    </w:p>
    <w:sectPr>
      <w:pgSz w:w="11906" w:h="16838"/>
      <w:pgMar w:top="1588" w:right="1814" w:bottom="1588"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仿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064BE"/>
    <w:rsid w:val="00005AA9"/>
    <w:rsid w:val="000128E2"/>
    <w:rsid w:val="00015B88"/>
    <w:rsid w:val="000354F5"/>
    <w:rsid w:val="00036879"/>
    <w:rsid w:val="000439B5"/>
    <w:rsid w:val="000450E7"/>
    <w:rsid w:val="00046529"/>
    <w:rsid w:val="000505B9"/>
    <w:rsid w:val="00052083"/>
    <w:rsid w:val="0005781E"/>
    <w:rsid w:val="0006042C"/>
    <w:rsid w:val="00060759"/>
    <w:rsid w:val="00061DC8"/>
    <w:rsid w:val="000620BE"/>
    <w:rsid w:val="00070039"/>
    <w:rsid w:val="000703D7"/>
    <w:rsid w:val="000730C8"/>
    <w:rsid w:val="00075B09"/>
    <w:rsid w:val="000879B5"/>
    <w:rsid w:val="000964F6"/>
    <w:rsid w:val="000973D3"/>
    <w:rsid w:val="000976AD"/>
    <w:rsid w:val="00097DB7"/>
    <w:rsid w:val="000A07BB"/>
    <w:rsid w:val="000A7DC6"/>
    <w:rsid w:val="000B3B05"/>
    <w:rsid w:val="000B5DFC"/>
    <w:rsid w:val="000B7A6E"/>
    <w:rsid w:val="000C2080"/>
    <w:rsid w:val="000C38DE"/>
    <w:rsid w:val="000C6D89"/>
    <w:rsid w:val="000D178A"/>
    <w:rsid w:val="000E3C81"/>
    <w:rsid w:val="000F0FD7"/>
    <w:rsid w:val="000F1D3C"/>
    <w:rsid w:val="000F42C8"/>
    <w:rsid w:val="000F524A"/>
    <w:rsid w:val="00100655"/>
    <w:rsid w:val="00100B5D"/>
    <w:rsid w:val="00112EE2"/>
    <w:rsid w:val="001130C9"/>
    <w:rsid w:val="001131AE"/>
    <w:rsid w:val="00124ED2"/>
    <w:rsid w:val="00127209"/>
    <w:rsid w:val="00160FCB"/>
    <w:rsid w:val="001611B5"/>
    <w:rsid w:val="001703C8"/>
    <w:rsid w:val="00176BCA"/>
    <w:rsid w:val="00182DB8"/>
    <w:rsid w:val="001840DF"/>
    <w:rsid w:val="00197EBB"/>
    <w:rsid w:val="001A380C"/>
    <w:rsid w:val="001B1C8A"/>
    <w:rsid w:val="001B20B8"/>
    <w:rsid w:val="001B6313"/>
    <w:rsid w:val="001B6BA5"/>
    <w:rsid w:val="001B752A"/>
    <w:rsid w:val="001C2E84"/>
    <w:rsid w:val="001C5698"/>
    <w:rsid w:val="001D0BE0"/>
    <w:rsid w:val="001F202A"/>
    <w:rsid w:val="001F24D3"/>
    <w:rsid w:val="0020133A"/>
    <w:rsid w:val="00201D9C"/>
    <w:rsid w:val="00223D33"/>
    <w:rsid w:val="00234C74"/>
    <w:rsid w:val="00245A8E"/>
    <w:rsid w:val="00250BF4"/>
    <w:rsid w:val="00250CEB"/>
    <w:rsid w:val="00260CED"/>
    <w:rsid w:val="00267791"/>
    <w:rsid w:val="00272AAB"/>
    <w:rsid w:val="0028263B"/>
    <w:rsid w:val="00282BEB"/>
    <w:rsid w:val="0029107D"/>
    <w:rsid w:val="002913A2"/>
    <w:rsid w:val="002944E3"/>
    <w:rsid w:val="002A1861"/>
    <w:rsid w:val="002B418E"/>
    <w:rsid w:val="002E677F"/>
    <w:rsid w:val="002F0FC6"/>
    <w:rsid w:val="002F561D"/>
    <w:rsid w:val="002F7304"/>
    <w:rsid w:val="00301A48"/>
    <w:rsid w:val="00307A6B"/>
    <w:rsid w:val="0031200E"/>
    <w:rsid w:val="003315D9"/>
    <w:rsid w:val="0033682F"/>
    <w:rsid w:val="00337CB8"/>
    <w:rsid w:val="00343D16"/>
    <w:rsid w:val="00347F8C"/>
    <w:rsid w:val="00351FB1"/>
    <w:rsid w:val="00357C3E"/>
    <w:rsid w:val="00372DB2"/>
    <w:rsid w:val="00383F70"/>
    <w:rsid w:val="00392EC7"/>
    <w:rsid w:val="003A0CCC"/>
    <w:rsid w:val="003C4F08"/>
    <w:rsid w:val="003E4688"/>
    <w:rsid w:val="003E495A"/>
    <w:rsid w:val="003F0C5F"/>
    <w:rsid w:val="003F3897"/>
    <w:rsid w:val="0040435F"/>
    <w:rsid w:val="00405D14"/>
    <w:rsid w:val="00414D68"/>
    <w:rsid w:val="00417A03"/>
    <w:rsid w:val="0043538A"/>
    <w:rsid w:val="00441E35"/>
    <w:rsid w:val="00442E48"/>
    <w:rsid w:val="00444527"/>
    <w:rsid w:val="004462E7"/>
    <w:rsid w:val="00446EC7"/>
    <w:rsid w:val="004501FF"/>
    <w:rsid w:val="00454674"/>
    <w:rsid w:val="00460092"/>
    <w:rsid w:val="00462B43"/>
    <w:rsid w:val="004724D5"/>
    <w:rsid w:val="00480F7E"/>
    <w:rsid w:val="00491413"/>
    <w:rsid w:val="00491D9A"/>
    <w:rsid w:val="00495EEB"/>
    <w:rsid w:val="004A2F30"/>
    <w:rsid w:val="004A34FC"/>
    <w:rsid w:val="004B4A55"/>
    <w:rsid w:val="004C0556"/>
    <w:rsid w:val="004C6BD6"/>
    <w:rsid w:val="004D7863"/>
    <w:rsid w:val="004F0443"/>
    <w:rsid w:val="004F323D"/>
    <w:rsid w:val="005064BE"/>
    <w:rsid w:val="005247FE"/>
    <w:rsid w:val="00527A6C"/>
    <w:rsid w:val="005342F4"/>
    <w:rsid w:val="00534889"/>
    <w:rsid w:val="005429D0"/>
    <w:rsid w:val="005501FA"/>
    <w:rsid w:val="005558AC"/>
    <w:rsid w:val="00556EBC"/>
    <w:rsid w:val="0056210C"/>
    <w:rsid w:val="005720FA"/>
    <w:rsid w:val="005768A3"/>
    <w:rsid w:val="00581CEA"/>
    <w:rsid w:val="00587477"/>
    <w:rsid w:val="00590543"/>
    <w:rsid w:val="005A44F1"/>
    <w:rsid w:val="005A727D"/>
    <w:rsid w:val="005B2CC0"/>
    <w:rsid w:val="005C2671"/>
    <w:rsid w:val="005C317E"/>
    <w:rsid w:val="005C4574"/>
    <w:rsid w:val="005F3414"/>
    <w:rsid w:val="005F349C"/>
    <w:rsid w:val="00601A78"/>
    <w:rsid w:val="00606DAA"/>
    <w:rsid w:val="00621C04"/>
    <w:rsid w:val="00621EA7"/>
    <w:rsid w:val="00626BF9"/>
    <w:rsid w:val="00630ED1"/>
    <w:rsid w:val="00631E2A"/>
    <w:rsid w:val="0063261D"/>
    <w:rsid w:val="006360A9"/>
    <w:rsid w:val="00642BED"/>
    <w:rsid w:val="00645E13"/>
    <w:rsid w:val="00647F44"/>
    <w:rsid w:val="00650B6A"/>
    <w:rsid w:val="00671610"/>
    <w:rsid w:val="0067429C"/>
    <w:rsid w:val="006774ED"/>
    <w:rsid w:val="00686187"/>
    <w:rsid w:val="006A0C39"/>
    <w:rsid w:val="006B6671"/>
    <w:rsid w:val="006C3A34"/>
    <w:rsid w:val="006C61B5"/>
    <w:rsid w:val="006C7F29"/>
    <w:rsid w:val="006E14C8"/>
    <w:rsid w:val="006E6D35"/>
    <w:rsid w:val="00705A05"/>
    <w:rsid w:val="00721180"/>
    <w:rsid w:val="00725FCD"/>
    <w:rsid w:val="00730A22"/>
    <w:rsid w:val="00733212"/>
    <w:rsid w:val="00743BEF"/>
    <w:rsid w:val="00745B2A"/>
    <w:rsid w:val="00756A85"/>
    <w:rsid w:val="007645B4"/>
    <w:rsid w:val="00765958"/>
    <w:rsid w:val="00782468"/>
    <w:rsid w:val="007849CD"/>
    <w:rsid w:val="007937E0"/>
    <w:rsid w:val="007B03F9"/>
    <w:rsid w:val="007B2733"/>
    <w:rsid w:val="007C1F71"/>
    <w:rsid w:val="007C5069"/>
    <w:rsid w:val="007D643A"/>
    <w:rsid w:val="007E30E2"/>
    <w:rsid w:val="007E5B92"/>
    <w:rsid w:val="00801509"/>
    <w:rsid w:val="00803B35"/>
    <w:rsid w:val="008041AC"/>
    <w:rsid w:val="0081017B"/>
    <w:rsid w:val="0081171F"/>
    <w:rsid w:val="00812507"/>
    <w:rsid w:val="00815DA2"/>
    <w:rsid w:val="00821010"/>
    <w:rsid w:val="0082579B"/>
    <w:rsid w:val="00826D45"/>
    <w:rsid w:val="00832F9C"/>
    <w:rsid w:val="00844BB7"/>
    <w:rsid w:val="0085179C"/>
    <w:rsid w:val="008571BF"/>
    <w:rsid w:val="008571FA"/>
    <w:rsid w:val="008707F9"/>
    <w:rsid w:val="00873C61"/>
    <w:rsid w:val="00875789"/>
    <w:rsid w:val="0087673D"/>
    <w:rsid w:val="00882E48"/>
    <w:rsid w:val="008837B2"/>
    <w:rsid w:val="008870F0"/>
    <w:rsid w:val="00897579"/>
    <w:rsid w:val="008A2A3D"/>
    <w:rsid w:val="008B06D4"/>
    <w:rsid w:val="008B3390"/>
    <w:rsid w:val="008C48BE"/>
    <w:rsid w:val="008D18B3"/>
    <w:rsid w:val="008D214A"/>
    <w:rsid w:val="008D2889"/>
    <w:rsid w:val="008D481D"/>
    <w:rsid w:val="008E77B3"/>
    <w:rsid w:val="008F6627"/>
    <w:rsid w:val="008F6F88"/>
    <w:rsid w:val="009008B4"/>
    <w:rsid w:val="00906DA1"/>
    <w:rsid w:val="00910174"/>
    <w:rsid w:val="00915CEA"/>
    <w:rsid w:val="00916F41"/>
    <w:rsid w:val="00925697"/>
    <w:rsid w:val="009309C1"/>
    <w:rsid w:val="009342A5"/>
    <w:rsid w:val="00936977"/>
    <w:rsid w:val="009407C4"/>
    <w:rsid w:val="00950E15"/>
    <w:rsid w:val="009545A4"/>
    <w:rsid w:val="0097554D"/>
    <w:rsid w:val="009807A2"/>
    <w:rsid w:val="009839BF"/>
    <w:rsid w:val="009841EE"/>
    <w:rsid w:val="009B3209"/>
    <w:rsid w:val="009D472F"/>
    <w:rsid w:val="009D58C7"/>
    <w:rsid w:val="009F52CA"/>
    <w:rsid w:val="00A042B2"/>
    <w:rsid w:val="00A06628"/>
    <w:rsid w:val="00A178C6"/>
    <w:rsid w:val="00A2519C"/>
    <w:rsid w:val="00A27650"/>
    <w:rsid w:val="00A30835"/>
    <w:rsid w:val="00A466E9"/>
    <w:rsid w:val="00A47BEA"/>
    <w:rsid w:val="00A65528"/>
    <w:rsid w:val="00A66C81"/>
    <w:rsid w:val="00A7550E"/>
    <w:rsid w:val="00A82DCB"/>
    <w:rsid w:val="00A92A85"/>
    <w:rsid w:val="00A95336"/>
    <w:rsid w:val="00AA3910"/>
    <w:rsid w:val="00AB0A69"/>
    <w:rsid w:val="00AB68B2"/>
    <w:rsid w:val="00AB73E2"/>
    <w:rsid w:val="00AC2FBB"/>
    <w:rsid w:val="00AC3937"/>
    <w:rsid w:val="00AC5404"/>
    <w:rsid w:val="00AC7A78"/>
    <w:rsid w:val="00AD7406"/>
    <w:rsid w:val="00AF1553"/>
    <w:rsid w:val="00AF2323"/>
    <w:rsid w:val="00B002E0"/>
    <w:rsid w:val="00B00E7D"/>
    <w:rsid w:val="00B020BF"/>
    <w:rsid w:val="00B04AD4"/>
    <w:rsid w:val="00B11B06"/>
    <w:rsid w:val="00B17AD5"/>
    <w:rsid w:val="00B258BB"/>
    <w:rsid w:val="00B366D2"/>
    <w:rsid w:val="00B450DE"/>
    <w:rsid w:val="00B45E1D"/>
    <w:rsid w:val="00B87D41"/>
    <w:rsid w:val="00B951D0"/>
    <w:rsid w:val="00B95F01"/>
    <w:rsid w:val="00B9795E"/>
    <w:rsid w:val="00BA1A89"/>
    <w:rsid w:val="00BB1366"/>
    <w:rsid w:val="00BC17E0"/>
    <w:rsid w:val="00BD4EBE"/>
    <w:rsid w:val="00BE15EC"/>
    <w:rsid w:val="00BE43FE"/>
    <w:rsid w:val="00BE4D03"/>
    <w:rsid w:val="00C10EC9"/>
    <w:rsid w:val="00C67614"/>
    <w:rsid w:val="00C70CC1"/>
    <w:rsid w:val="00C73D2A"/>
    <w:rsid w:val="00C76813"/>
    <w:rsid w:val="00C8250D"/>
    <w:rsid w:val="00C87631"/>
    <w:rsid w:val="00C90BB3"/>
    <w:rsid w:val="00CA4B19"/>
    <w:rsid w:val="00CA6287"/>
    <w:rsid w:val="00CB1DF7"/>
    <w:rsid w:val="00CC458C"/>
    <w:rsid w:val="00CD3827"/>
    <w:rsid w:val="00CE0DAD"/>
    <w:rsid w:val="00CE7339"/>
    <w:rsid w:val="00CF500D"/>
    <w:rsid w:val="00CF7704"/>
    <w:rsid w:val="00D32F53"/>
    <w:rsid w:val="00D347C9"/>
    <w:rsid w:val="00D41887"/>
    <w:rsid w:val="00D46D82"/>
    <w:rsid w:val="00D50A36"/>
    <w:rsid w:val="00D5129D"/>
    <w:rsid w:val="00D622FE"/>
    <w:rsid w:val="00D701EE"/>
    <w:rsid w:val="00D80700"/>
    <w:rsid w:val="00D80763"/>
    <w:rsid w:val="00D84481"/>
    <w:rsid w:val="00D94A7C"/>
    <w:rsid w:val="00DA2209"/>
    <w:rsid w:val="00DA28EA"/>
    <w:rsid w:val="00DA3EE5"/>
    <w:rsid w:val="00DA7044"/>
    <w:rsid w:val="00DA711D"/>
    <w:rsid w:val="00DC2F04"/>
    <w:rsid w:val="00DC6ED8"/>
    <w:rsid w:val="00DD04AF"/>
    <w:rsid w:val="00DD5C49"/>
    <w:rsid w:val="00DE28E6"/>
    <w:rsid w:val="00DF1CCD"/>
    <w:rsid w:val="00E019B7"/>
    <w:rsid w:val="00E03C92"/>
    <w:rsid w:val="00E11C88"/>
    <w:rsid w:val="00E1623E"/>
    <w:rsid w:val="00E17F69"/>
    <w:rsid w:val="00E255EC"/>
    <w:rsid w:val="00E3170B"/>
    <w:rsid w:val="00E367DF"/>
    <w:rsid w:val="00E415DF"/>
    <w:rsid w:val="00E519E5"/>
    <w:rsid w:val="00E51ECA"/>
    <w:rsid w:val="00E56478"/>
    <w:rsid w:val="00E62462"/>
    <w:rsid w:val="00E73C55"/>
    <w:rsid w:val="00E879B4"/>
    <w:rsid w:val="00EC34EB"/>
    <w:rsid w:val="00EC407A"/>
    <w:rsid w:val="00EC4216"/>
    <w:rsid w:val="00EC4D19"/>
    <w:rsid w:val="00EC6C7F"/>
    <w:rsid w:val="00EC71A8"/>
    <w:rsid w:val="00ED42E6"/>
    <w:rsid w:val="00EF2213"/>
    <w:rsid w:val="00EF4A7F"/>
    <w:rsid w:val="00EF7C38"/>
    <w:rsid w:val="00EF7DDD"/>
    <w:rsid w:val="00F01CDB"/>
    <w:rsid w:val="00F20EF9"/>
    <w:rsid w:val="00F366B4"/>
    <w:rsid w:val="00F4496E"/>
    <w:rsid w:val="00F50083"/>
    <w:rsid w:val="00F50BC9"/>
    <w:rsid w:val="00F54AF5"/>
    <w:rsid w:val="00F73B50"/>
    <w:rsid w:val="00F81526"/>
    <w:rsid w:val="00F82AC0"/>
    <w:rsid w:val="00F95D72"/>
    <w:rsid w:val="00FA5C34"/>
    <w:rsid w:val="00FA7D61"/>
    <w:rsid w:val="00FB465D"/>
    <w:rsid w:val="00FB4868"/>
    <w:rsid w:val="00FB6791"/>
    <w:rsid w:val="00FB747A"/>
    <w:rsid w:val="00FC02A4"/>
    <w:rsid w:val="00FC23A7"/>
    <w:rsid w:val="00FC7DDC"/>
    <w:rsid w:val="00FD0570"/>
    <w:rsid w:val="00FD29EE"/>
    <w:rsid w:val="00FD7ECC"/>
    <w:rsid w:val="00FE1451"/>
    <w:rsid w:val="00FE6F0E"/>
    <w:rsid w:val="0FA9670D"/>
    <w:rsid w:val="160F52F0"/>
    <w:rsid w:val="2BA27685"/>
    <w:rsid w:val="350D52F5"/>
    <w:rsid w:val="35B46638"/>
    <w:rsid w:val="4F266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qFormat="1" w:unhideWhenUsed="0" w:uiPriority="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21"/>
    <w:unhideWhenUsed/>
    <w:qFormat/>
    <w:uiPriority w:val="99"/>
    <w:pPr>
      <w:spacing w:after="120"/>
    </w:pPr>
  </w:style>
  <w:style w:type="paragraph" w:styleId="3">
    <w:name w:val="Plain Text"/>
    <w:basedOn w:val="1"/>
    <w:link w:val="18"/>
    <w:qFormat/>
    <w:uiPriority w:val="0"/>
    <w:pPr>
      <w:spacing w:line="360" w:lineRule="auto"/>
      <w:ind w:firstLine="480" w:firstLineChars="200"/>
    </w:pPr>
    <w:rPr>
      <w:rFonts w:ascii="仿宋_GB2312"/>
      <w:sz w:val="24"/>
    </w:rPr>
  </w:style>
  <w:style w:type="paragraph" w:styleId="4">
    <w:name w:val="Body Text Indent 2"/>
    <w:basedOn w:val="1"/>
    <w:link w:val="23"/>
    <w:unhideWhenUsed/>
    <w:qFormat/>
    <w:uiPriority w:val="99"/>
    <w:pPr>
      <w:spacing w:after="120" w:line="480" w:lineRule="auto"/>
      <w:ind w:left="420" w:leftChars="200"/>
    </w:pPr>
  </w:style>
  <w:style w:type="paragraph" w:styleId="5">
    <w:name w:val="Balloon Text"/>
    <w:basedOn w:val="1"/>
    <w:link w:val="26"/>
    <w:unhideWhenUsed/>
    <w:qFormat/>
    <w:uiPriority w:val="99"/>
    <w:rPr>
      <w:sz w:val="18"/>
      <w:szCs w:val="18"/>
    </w:rPr>
  </w:style>
  <w:style w:type="paragraph" w:styleId="6">
    <w:name w:val="footer"/>
    <w:basedOn w:val="1"/>
    <w:link w:val="13"/>
    <w:unhideWhenUsed/>
    <w:uiPriority w:val="99"/>
    <w:pPr>
      <w:tabs>
        <w:tab w:val="center" w:pos="4153"/>
        <w:tab w:val="right" w:pos="8306"/>
      </w:tabs>
      <w:snapToGrid w:val="0"/>
      <w:jc w:val="left"/>
    </w:pPr>
    <w:rPr>
      <w:sz w:val="18"/>
      <w:szCs w:val="18"/>
    </w:rPr>
  </w:style>
  <w:style w:type="paragraph" w:styleId="7">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15"/>
    <w:semiHidden/>
    <w:qFormat/>
    <w:uiPriority w:val="0"/>
    <w:pPr>
      <w:ind w:firstLine="420" w:firstLineChars="200"/>
    </w:pPr>
    <w:rPr>
      <w:rFonts w:asciiTheme="minorHAnsi" w:hAnsiTheme="minorHAnsi" w:cstheme="minorBidi"/>
      <w:szCs w:val="22"/>
    </w:rPr>
  </w:style>
  <w:style w:type="character" w:styleId="10">
    <w:name w:val="annotation reference"/>
    <w:qFormat/>
    <w:uiPriority w:val="0"/>
    <w:rPr>
      <w:sz w:val="21"/>
      <w:szCs w:val="21"/>
    </w:rPr>
  </w:style>
  <w:style w:type="character" w:customStyle="1" w:styleId="12">
    <w:name w:val="页眉 Char"/>
    <w:basedOn w:val="9"/>
    <w:link w:val="7"/>
    <w:semiHidden/>
    <w:uiPriority w:val="99"/>
    <w:rPr>
      <w:sz w:val="18"/>
      <w:szCs w:val="18"/>
    </w:rPr>
  </w:style>
  <w:style w:type="character" w:customStyle="1" w:styleId="13">
    <w:name w:val="页脚 Char"/>
    <w:basedOn w:val="9"/>
    <w:link w:val="6"/>
    <w:semiHidden/>
    <w:qFormat/>
    <w:uiPriority w:val="99"/>
    <w:rPr>
      <w:sz w:val="18"/>
      <w:szCs w:val="18"/>
    </w:rPr>
  </w:style>
  <w:style w:type="character" w:customStyle="1" w:styleId="14">
    <w:name w:val="正文文本缩进 3 Char"/>
    <w:link w:val="8"/>
    <w:semiHidden/>
    <w:qFormat/>
    <w:uiPriority w:val="0"/>
    <w:rPr>
      <w:rFonts w:eastAsia="宋体"/>
    </w:rPr>
  </w:style>
  <w:style w:type="character" w:customStyle="1" w:styleId="15">
    <w:name w:val="正文文本缩进 3 Char1"/>
    <w:basedOn w:val="9"/>
    <w:link w:val="8"/>
    <w:semiHidden/>
    <w:uiPriority w:val="99"/>
    <w:rPr>
      <w:rFonts w:ascii="Times New Roman" w:hAnsi="Times New Roman" w:eastAsia="宋体" w:cs="Times New Roman"/>
      <w:sz w:val="16"/>
      <w:szCs w:val="16"/>
    </w:rPr>
  </w:style>
  <w:style w:type="paragraph" w:customStyle="1" w:styleId="16">
    <w:name w:val="_Style 8"/>
    <w:basedOn w:val="1"/>
    <w:next w:val="1"/>
    <w:qFormat/>
    <w:uiPriority w:val="0"/>
    <w:pPr>
      <w:spacing w:line="360" w:lineRule="auto"/>
      <w:ind w:firstLine="480" w:firstLineChars="200"/>
    </w:pPr>
    <w:rPr>
      <w:rFonts w:ascii="仿宋_GB2312"/>
      <w:sz w:val="24"/>
    </w:rPr>
  </w:style>
  <w:style w:type="character" w:customStyle="1" w:styleId="17">
    <w:name w:val="纯文本 Char"/>
    <w:basedOn w:val="9"/>
    <w:link w:val="3"/>
    <w:qFormat/>
    <w:uiPriority w:val="0"/>
    <w:rPr>
      <w:rFonts w:ascii="宋体" w:hAnsi="Courier New" w:eastAsia="宋体" w:cs="Courier New"/>
      <w:szCs w:val="21"/>
    </w:rPr>
  </w:style>
  <w:style w:type="character" w:customStyle="1" w:styleId="18">
    <w:name w:val="纯文本 Char1"/>
    <w:link w:val="3"/>
    <w:uiPriority w:val="0"/>
    <w:rPr>
      <w:rFonts w:ascii="仿宋_GB2312" w:hAnsi="Times New Roman" w:eastAsia="宋体" w:cs="Times New Roman"/>
      <w:sz w:val="24"/>
      <w:szCs w:val="20"/>
    </w:rPr>
  </w:style>
  <w:style w:type="paragraph" w:customStyle="1" w:styleId="19">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paragraph" w:customStyle="1" w:styleId="20">
    <w:name w:val="样式"/>
    <w:basedOn w:val="1"/>
    <w:next w:val="2"/>
    <w:uiPriority w:val="0"/>
    <w:pPr>
      <w:autoSpaceDE w:val="0"/>
      <w:autoSpaceDN w:val="0"/>
      <w:adjustRightInd w:val="0"/>
    </w:pPr>
    <w:rPr>
      <w:rFonts w:eastAsia="方正仿宋简体"/>
      <w:sz w:val="24"/>
    </w:rPr>
  </w:style>
  <w:style w:type="character" w:customStyle="1" w:styleId="21">
    <w:name w:val="正文文本 Char"/>
    <w:basedOn w:val="9"/>
    <w:link w:val="2"/>
    <w:semiHidden/>
    <w:uiPriority w:val="99"/>
    <w:rPr>
      <w:rFonts w:ascii="Times New Roman" w:hAnsi="Times New Roman" w:eastAsia="宋体" w:cs="Times New Roman"/>
      <w:szCs w:val="20"/>
    </w:rPr>
  </w:style>
  <w:style w:type="paragraph" w:customStyle="1" w:styleId="22">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
    <w:name w:val="正文文本缩进 2 Char"/>
    <w:basedOn w:val="9"/>
    <w:link w:val="4"/>
    <w:semiHidden/>
    <w:qFormat/>
    <w:uiPriority w:val="99"/>
    <w:rPr>
      <w:rFonts w:ascii="Times New Roman" w:hAnsi="Times New Roman" w:eastAsia="宋体" w:cs="Times New Roman"/>
      <w:szCs w:val="20"/>
    </w:rPr>
  </w:style>
  <w:style w:type="paragraph" w:customStyle="1" w:styleId="24">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25">
    <w:name w:val="apple-converted-space"/>
    <w:basedOn w:val="9"/>
    <w:qFormat/>
    <w:uiPriority w:val="0"/>
  </w:style>
  <w:style w:type="character" w:customStyle="1" w:styleId="26">
    <w:name w:val="批注框文本 Char"/>
    <w:basedOn w:val="9"/>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E891A9-58D5-458C-9E94-408A6665DD2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2265</Words>
  <Characters>12916</Characters>
  <Lines>107</Lines>
  <Paragraphs>30</Paragraphs>
  <TotalTime>4</TotalTime>
  <ScaleCrop>false</ScaleCrop>
  <LinksUpToDate>false</LinksUpToDate>
  <CharactersWithSpaces>15151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2019-06-18T08:40:00Z</dcterms:created>
  <dc:creator>USER</dc:creator>
  <cp:lastModifiedBy>ml</cp:lastModifiedBy>
  <dcterms:modified xsi:type="dcterms:W3CDTF">2019-06-28T07:24:59Z</dcterms:modifi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