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b/>
          <w:sz w:val="28"/>
          <w:szCs w:val="28"/>
        </w:rPr>
      </w:pPr>
      <w:r>
        <w:rPr>
          <w:rFonts w:hint="eastAsia" w:asciiTheme="minorEastAsia" w:hAnsiTheme="minorEastAsia"/>
          <w:b/>
          <w:sz w:val="28"/>
          <w:szCs w:val="28"/>
        </w:rPr>
        <w:t>项目</w:t>
      </w:r>
      <w:r>
        <w:rPr>
          <w:rFonts w:hint="eastAsia" w:asciiTheme="minorEastAsia" w:hAnsiTheme="minorEastAsia"/>
          <w:b/>
          <w:sz w:val="28"/>
          <w:szCs w:val="28"/>
          <w:lang w:val="en-US" w:eastAsia="zh-CN"/>
        </w:rPr>
        <w:t>名称</w:t>
      </w:r>
      <w:r>
        <w:rPr>
          <w:rFonts w:hint="eastAsia" w:asciiTheme="minorEastAsia" w:hAnsiTheme="minorEastAsia"/>
          <w:b/>
          <w:sz w:val="28"/>
          <w:szCs w:val="28"/>
        </w:rPr>
        <w:t>：NF-</w:t>
      </w:r>
      <w:r>
        <w:rPr>
          <w:rFonts w:asciiTheme="minorEastAsia" w:hAnsiTheme="minorEastAsia"/>
          <w:b/>
          <w:sz w:val="28"/>
          <w:szCs w:val="28"/>
        </w:rPr>
        <w:t>κ</w:t>
      </w:r>
      <w:r>
        <w:rPr>
          <w:rFonts w:hint="eastAsia" w:asciiTheme="minorEastAsia" w:hAnsiTheme="minorEastAsia"/>
          <w:b/>
          <w:sz w:val="28"/>
          <w:szCs w:val="28"/>
        </w:rPr>
        <w:t>B信号通路在膀胱肿瘤耐药复发机制研究及临床治疗研究</w:t>
      </w:r>
    </w:p>
    <w:p>
      <w:pPr>
        <w:spacing w:line="360" w:lineRule="auto"/>
        <w:rPr>
          <w:rFonts w:asciiTheme="minorEastAsia" w:hAnsiTheme="minorEastAsia"/>
          <w:b/>
          <w:sz w:val="24"/>
          <w:szCs w:val="24"/>
        </w:rPr>
      </w:pPr>
      <w:r>
        <w:rPr>
          <w:rFonts w:hint="eastAsia" w:asciiTheme="minorEastAsia" w:hAnsiTheme="minorEastAsia"/>
          <w:b/>
          <w:sz w:val="24"/>
          <w:szCs w:val="24"/>
        </w:rPr>
        <w:t>1 主要完成单位及创新推广贡献：</w:t>
      </w:r>
    </w:p>
    <w:p>
      <w:pPr>
        <w:spacing w:line="360" w:lineRule="auto"/>
        <w:ind w:firstLine="480" w:firstLineChars="200"/>
        <w:rPr>
          <w:sz w:val="24"/>
          <w:szCs w:val="24"/>
        </w:rPr>
      </w:pPr>
      <w:r>
        <w:rPr>
          <w:rFonts w:hint="eastAsia" w:ascii="STKaiti" w:hAnsi="STKaiti" w:eastAsia="STKaiti"/>
          <w:sz w:val="24"/>
          <w:szCs w:val="24"/>
        </w:rPr>
        <w:t>陕西省人民医院</w:t>
      </w:r>
    </w:p>
    <w:p>
      <w:pPr>
        <w:spacing w:line="360" w:lineRule="auto"/>
        <w:rPr>
          <w:rFonts w:asciiTheme="minorEastAsia" w:hAnsiTheme="minorEastAsia"/>
          <w:b/>
          <w:sz w:val="24"/>
          <w:szCs w:val="24"/>
        </w:rPr>
      </w:pPr>
      <w:r>
        <w:rPr>
          <w:rFonts w:hint="eastAsia" w:asciiTheme="minorEastAsia" w:hAnsiTheme="minorEastAsia"/>
          <w:b/>
          <w:sz w:val="24"/>
          <w:szCs w:val="24"/>
        </w:rPr>
        <w:t>2 主要完成人情况：</w:t>
      </w:r>
    </w:p>
    <w:tbl>
      <w:tblPr>
        <w:tblStyle w:val="6"/>
        <w:tblW w:w="8840" w:type="dxa"/>
        <w:jc w:val="center"/>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92"/>
        <w:gridCol w:w="1276"/>
        <w:gridCol w:w="1701"/>
        <w:gridCol w:w="1276"/>
        <w:gridCol w:w="1275"/>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810" w:type="dxa"/>
            <w:vAlign w:val="center"/>
          </w:tcPr>
          <w:p>
            <w:pPr>
              <w:adjustRightInd w:val="0"/>
              <w:snapToGrid w:val="0"/>
              <w:spacing w:line="276" w:lineRule="auto"/>
              <w:ind w:left="354" w:hanging="354" w:hangingChars="168"/>
              <w:jc w:val="center"/>
              <w:rPr>
                <w:rFonts w:asciiTheme="minorEastAsia" w:hAnsiTheme="minorEastAsia"/>
                <w:b/>
                <w:bCs/>
                <w:szCs w:val="21"/>
              </w:rPr>
            </w:pPr>
            <w:r>
              <w:rPr>
                <w:rFonts w:hint="eastAsia" w:asciiTheme="minorEastAsia" w:hAnsiTheme="minorEastAsia"/>
                <w:b/>
                <w:bCs/>
                <w:szCs w:val="21"/>
              </w:rPr>
              <w:t>序号</w:t>
            </w:r>
          </w:p>
        </w:tc>
        <w:tc>
          <w:tcPr>
            <w:tcW w:w="892"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姓名</w:t>
            </w:r>
          </w:p>
        </w:tc>
        <w:tc>
          <w:tcPr>
            <w:tcW w:w="1276"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技术职称</w:t>
            </w:r>
          </w:p>
        </w:tc>
        <w:tc>
          <w:tcPr>
            <w:tcW w:w="1701"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行政职务</w:t>
            </w:r>
          </w:p>
        </w:tc>
        <w:tc>
          <w:tcPr>
            <w:tcW w:w="1276"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工作单位</w:t>
            </w:r>
          </w:p>
        </w:tc>
        <w:tc>
          <w:tcPr>
            <w:tcW w:w="1275"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完成单位</w:t>
            </w:r>
          </w:p>
        </w:tc>
        <w:tc>
          <w:tcPr>
            <w:tcW w:w="1610"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1</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孙羿</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主任医师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泌尿外科病院</w:t>
            </w:r>
          </w:p>
          <w:p>
            <w:pPr>
              <w:adjustRightInd w:val="0"/>
              <w:snapToGrid w:val="0"/>
              <w:jc w:val="center"/>
              <w:rPr>
                <w:rFonts w:asciiTheme="minorEastAsia" w:hAnsiTheme="minorEastAsia"/>
                <w:bCs/>
                <w:szCs w:val="21"/>
              </w:rPr>
            </w:pPr>
            <w:r>
              <w:rPr>
                <w:rFonts w:hint="eastAsia" w:asciiTheme="minorEastAsia" w:hAnsiTheme="minorEastAsia"/>
                <w:bCs/>
                <w:szCs w:val="21"/>
              </w:rPr>
              <w:t>副主任</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项目主持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2</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管振峰</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主治医师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无</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3</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梁亮</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副主任医师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无</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4</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段万里</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主治医师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无</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5</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盛秋</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主治医师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无</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西北工业大学</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西北工业大学</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6</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赵华才</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主治医师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无</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7</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李晶</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副主任医师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无</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8</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赵文彩</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副主任护师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泌尿外科病院护士长</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exact"/>
          <w:jc w:val="center"/>
        </w:trPr>
        <w:tc>
          <w:tcPr>
            <w:tcW w:w="8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9</w:t>
            </w:r>
          </w:p>
        </w:tc>
        <w:tc>
          <w:tcPr>
            <w:tcW w:w="892"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程永毅</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主任医师</w:t>
            </w:r>
          </w:p>
        </w:tc>
        <w:tc>
          <w:tcPr>
            <w:tcW w:w="1701"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泌尿病院常务副院长</w:t>
            </w:r>
          </w:p>
        </w:tc>
        <w:tc>
          <w:tcPr>
            <w:tcW w:w="1276"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275"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陕西省人民医院</w:t>
            </w:r>
          </w:p>
        </w:tc>
        <w:tc>
          <w:tcPr>
            <w:tcW w:w="1610" w:type="dxa"/>
            <w:vAlign w:val="center"/>
          </w:tcPr>
          <w:p>
            <w:pPr>
              <w:adjustRightInd w:val="0"/>
              <w:snapToGrid w:val="0"/>
              <w:jc w:val="center"/>
              <w:rPr>
                <w:rFonts w:asciiTheme="minorEastAsia" w:hAnsiTheme="minorEastAsia"/>
                <w:bCs/>
                <w:szCs w:val="21"/>
              </w:rPr>
            </w:pPr>
            <w:r>
              <w:rPr>
                <w:rFonts w:hint="eastAsia" w:asciiTheme="minorEastAsia" w:hAnsiTheme="minorEastAsia"/>
                <w:bCs/>
                <w:szCs w:val="21"/>
              </w:rPr>
              <w:t>论文合著、</w:t>
            </w:r>
          </w:p>
          <w:p>
            <w:pPr>
              <w:adjustRightInd w:val="0"/>
              <w:snapToGrid w:val="0"/>
              <w:jc w:val="center"/>
              <w:rPr>
                <w:rFonts w:asciiTheme="minorEastAsia" w:hAnsiTheme="minorEastAsia"/>
                <w:bCs/>
                <w:szCs w:val="21"/>
              </w:rPr>
            </w:pPr>
            <w:r>
              <w:rPr>
                <w:rFonts w:hint="eastAsia" w:asciiTheme="minorEastAsia" w:hAnsiTheme="minorEastAsia"/>
                <w:bCs/>
                <w:szCs w:val="21"/>
              </w:rPr>
              <w:t>技术推广</w:t>
            </w:r>
          </w:p>
        </w:tc>
      </w:tr>
    </w:tbl>
    <w:p>
      <w:pPr>
        <w:spacing w:line="360" w:lineRule="auto"/>
        <w:rPr>
          <w:rFonts w:asciiTheme="minorEastAsia" w:hAnsiTheme="minorEastAsia"/>
          <w:b/>
          <w:sz w:val="24"/>
          <w:szCs w:val="24"/>
        </w:rPr>
      </w:pPr>
      <w:r>
        <w:rPr>
          <w:rFonts w:hint="eastAsia" w:asciiTheme="minorEastAsia" w:hAnsiTheme="minorEastAsia"/>
          <w:b/>
          <w:sz w:val="24"/>
          <w:szCs w:val="24"/>
        </w:rPr>
        <w:t>3 项目简介、客观评价及应用情况：</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膀胱癌（BCa）是世界上最重要的泌尿生殖系统恶性疾病，在最常见的恶性肿瘤位列第9位，并且在癌症引起的死因中位列13位。尽管手术和靶向药物的开发为传统的BCa治疗概念带来了新的挑战，但治疗后5年复发率仍高达50%-70%。多药耐药的产生被认为是引起膀胱癌复发的重要原因。而且浅表性膀胱癌经手术和药物治疗后约有10%-25%经一次或多次复发后，其恶性度逐渐增高，最终发展成浸润性膀胱癌。尽管各种类型的化疗仍然是众多膀胱癌患者的最终治疗方法。然而，膀胱肿瘤复发对化疗药物敏感性迅速降低。目前含有顺铂的化疗方案的广泛应用使得化疗耐药不可避免地出现，导致化疗失败。给患者及社会医疗系统造成了巨大负担。因此探寻化疗耐药机制及解决方案迫在眉睫。我们团队对此进行了专项攻关，取得了具有科学价值的创新成果。</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针对膀胱肿瘤患者化疗易耐药的特点，本项目以拟解决膀胱癌患者化疗耐药复发问题为项目出发点，在深入研究肿瘤分子生物学及膀胱肿瘤化疗耐药复发的基础上，利用分子生物学技术，通过： 1）深入研究膀胱肿瘤耐药复发机制；2）挖掘潜在影响化疗耐药复发分子通路；3）探寻解决膀胱癌化疗耐药复发解决方法。进而实现为化疗耐药复发的膀胱癌患者治疗提供了新的观点和治疗希望的主要研究目标。</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分子生物学相关研究获得国家自然科学基金项目1项、陕西省重点研发计划项目1项、陕西省社发攻关项目1项、陕西省自然科学基础计划项目1项、陕西省科技统筹创新工程计划项目1项支持。本项目分子生物学相关成果已发现：（1）HIF-1α/MDR1途径在膀胱癌中对顺铂的抗性发展中起关键作用；（2）NF-κB等信号通路参与膀胱肿瘤耐药复发恶性进展过程；（3）水飞蓟宾以NF-κB依赖性和非依赖性方式逆转膀胱化疗耐药；（4）研究表明p53的激活和NF-κB系统的抑制可能在非瑟酮诱导的膀胱癌细胞凋亡中起重要作用。相关成果现已发表相关SCI论文5篇。</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本项目已初步建立基于水飞蓟宾以NF-κB依赖性和非依赖性方式逆转膀胱化疗耐药的临床治疗研究，该治疗方式已逐步开展，具有一定的省内影响力，并成功取得了较好的临床治疗效果。</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综上，本项目拟拟解决膀胱癌患者化疗耐药复发问题为项目出发点，通过深入的膀胱肿瘤耐药复发机制，挖掘潜在影响化疗耐药复发分子通路，探寻解决膀胱癌化疗耐药复发解决方法。并且取得具有创新价值和临床意义的成果，为膀胱癌化疗耐药患者带来福音，具有较大潜在的社会效益及经济效益。</w:t>
      </w:r>
    </w:p>
    <w:p>
      <w:pPr>
        <w:spacing w:line="360" w:lineRule="auto"/>
        <w:rPr>
          <w:rFonts w:asciiTheme="minorEastAsia" w:hAnsiTheme="minorEastAsia"/>
          <w:b/>
          <w:sz w:val="24"/>
          <w:szCs w:val="24"/>
        </w:rPr>
      </w:pPr>
      <w:r>
        <w:rPr>
          <w:rFonts w:hint="eastAsia" w:asciiTheme="minorEastAsia" w:hAnsiTheme="minorEastAsia"/>
          <w:b/>
          <w:sz w:val="24"/>
          <w:szCs w:val="24"/>
        </w:rPr>
        <w:t>4 主要知识产权和标准规范等目录：</w:t>
      </w:r>
    </w:p>
    <w:tbl>
      <w:tblPr>
        <w:tblStyle w:val="7"/>
        <w:tblW w:w="8613"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57"/>
        <w:gridCol w:w="3525"/>
        <w:gridCol w:w="3214"/>
        <w:gridCol w:w="141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457"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352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论文名称</w:t>
            </w:r>
          </w:p>
        </w:tc>
        <w:tc>
          <w:tcPr>
            <w:tcW w:w="321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刊物名称、卷期及页码</w:t>
            </w:r>
          </w:p>
        </w:tc>
        <w:tc>
          <w:tcPr>
            <w:tcW w:w="1417"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99" w:hRule="atLeast"/>
          <w:jc w:val="center"/>
        </w:trPr>
        <w:tc>
          <w:tcPr>
            <w:tcW w:w="457" w:type="dxa"/>
            <w:vAlign w:val="center"/>
          </w:tcPr>
          <w:p>
            <w:pPr>
              <w:spacing w:line="276" w:lineRule="auto"/>
              <w:jc w:val="center"/>
              <w:rPr>
                <w:rFonts w:asciiTheme="minorEastAsia" w:hAnsiTheme="minorEastAsia"/>
                <w:szCs w:val="21"/>
              </w:rPr>
            </w:pPr>
            <w:r>
              <w:rPr>
                <w:rFonts w:hint="eastAsia" w:asciiTheme="minorEastAsia" w:hAnsiTheme="minorEastAsia"/>
                <w:szCs w:val="21"/>
              </w:rPr>
              <w:t>1</w:t>
            </w:r>
          </w:p>
        </w:tc>
        <w:tc>
          <w:tcPr>
            <w:tcW w:w="3525" w:type="dxa"/>
            <w:vAlign w:val="center"/>
          </w:tcPr>
          <w:p>
            <w:pPr>
              <w:spacing w:line="276" w:lineRule="auto"/>
              <w:jc w:val="center"/>
              <w:rPr>
                <w:rFonts w:asciiTheme="minorEastAsia" w:hAnsiTheme="minorEastAsia"/>
                <w:szCs w:val="21"/>
              </w:rPr>
            </w:pPr>
            <w:r>
              <w:rPr>
                <w:rFonts w:hint="eastAsia" w:cs="Times New Roman" w:asciiTheme="minorEastAsia" w:hAnsiTheme="minorEastAsia"/>
                <w:bCs/>
                <w:szCs w:val="21"/>
              </w:rPr>
              <w:t>HIF-1α/MDR1 pathway confers chemoresistance to cisplatin in bladder cancer</w:t>
            </w:r>
          </w:p>
        </w:tc>
        <w:tc>
          <w:tcPr>
            <w:tcW w:w="3214" w:type="dxa"/>
            <w:vAlign w:val="center"/>
          </w:tcPr>
          <w:p>
            <w:pPr>
              <w:spacing w:line="276" w:lineRule="auto"/>
              <w:jc w:val="center"/>
              <w:rPr>
                <w:rFonts w:asciiTheme="minorEastAsia" w:hAnsiTheme="minorEastAsia"/>
                <w:szCs w:val="21"/>
              </w:rPr>
            </w:pPr>
            <w:r>
              <w:rPr>
                <w:rFonts w:hint="eastAsia" w:cs="Times New Roman" w:asciiTheme="minorEastAsia" w:hAnsiTheme="minorEastAsia"/>
                <w:bCs/>
                <w:szCs w:val="21"/>
              </w:rPr>
              <w:t>Oncol Rep. 2016 Mar;35(3):1549-56</w:t>
            </w:r>
          </w:p>
        </w:tc>
        <w:tc>
          <w:tcPr>
            <w:tcW w:w="1417" w:type="dxa"/>
            <w:vAlign w:val="center"/>
          </w:tcPr>
          <w:p>
            <w:pPr>
              <w:spacing w:line="276" w:lineRule="auto"/>
              <w:jc w:val="center"/>
              <w:rPr>
                <w:rFonts w:asciiTheme="minorEastAsia" w:hAnsiTheme="minorEastAsia"/>
                <w:szCs w:val="21"/>
              </w:rPr>
            </w:pPr>
            <w:r>
              <w:rPr>
                <w:rFonts w:hint="eastAsia" w:cs="Times New Roman" w:asciiTheme="minorEastAsia" w:hAnsiTheme="minorEastAsia"/>
                <w:szCs w:val="21"/>
              </w:rPr>
              <w:t>孙羿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76" w:hRule="atLeast"/>
          <w:jc w:val="center"/>
        </w:trPr>
        <w:tc>
          <w:tcPr>
            <w:tcW w:w="457" w:type="dxa"/>
            <w:vAlign w:val="center"/>
          </w:tcPr>
          <w:p>
            <w:pPr>
              <w:spacing w:line="276" w:lineRule="auto"/>
              <w:jc w:val="center"/>
              <w:rPr>
                <w:rFonts w:asciiTheme="minorEastAsia" w:hAnsiTheme="minorEastAsia"/>
                <w:szCs w:val="21"/>
              </w:rPr>
            </w:pPr>
            <w:r>
              <w:rPr>
                <w:rFonts w:hint="eastAsia" w:asciiTheme="minorEastAsia" w:hAnsiTheme="minorEastAsia"/>
                <w:szCs w:val="21"/>
              </w:rPr>
              <w:t>2</w:t>
            </w:r>
          </w:p>
        </w:tc>
        <w:tc>
          <w:tcPr>
            <w:tcW w:w="3525" w:type="dxa"/>
            <w:vAlign w:val="center"/>
          </w:tcPr>
          <w:p>
            <w:pPr>
              <w:spacing w:line="276" w:lineRule="auto"/>
              <w:jc w:val="center"/>
              <w:rPr>
                <w:rFonts w:asciiTheme="minorEastAsia" w:hAnsiTheme="minorEastAsia"/>
                <w:szCs w:val="21"/>
              </w:rPr>
            </w:pPr>
            <w:r>
              <w:rPr>
                <w:rFonts w:hint="eastAsia" w:cs="Times New Roman" w:asciiTheme="minorEastAsia" w:hAnsiTheme="minorEastAsia"/>
                <w:bCs/>
                <w:szCs w:val="21"/>
              </w:rPr>
              <w:t>NF-κB signaling plays irreplaceable roles in cisplatin-induced bladder cancer chemoresistance and tumor progression</w:t>
            </w:r>
          </w:p>
        </w:tc>
        <w:tc>
          <w:tcPr>
            <w:tcW w:w="3214" w:type="dxa"/>
            <w:vAlign w:val="center"/>
          </w:tcPr>
          <w:p>
            <w:pPr>
              <w:spacing w:line="276" w:lineRule="auto"/>
              <w:jc w:val="center"/>
              <w:rPr>
                <w:rFonts w:asciiTheme="minorEastAsia" w:hAnsiTheme="minorEastAsia"/>
                <w:szCs w:val="21"/>
              </w:rPr>
            </w:pPr>
            <w:r>
              <w:rPr>
                <w:rFonts w:hint="eastAsia" w:cs="Times New Roman" w:asciiTheme="minorEastAsia" w:hAnsiTheme="minorEastAsia"/>
                <w:bCs/>
                <w:szCs w:val="21"/>
              </w:rPr>
              <w:t>Int J Oncol. 2016 Jan;48(1):225-34</w:t>
            </w:r>
          </w:p>
        </w:tc>
        <w:tc>
          <w:tcPr>
            <w:tcW w:w="1417" w:type="dxa"/>
            <w:vAlign w:val="center"/>
          </w:tcPr>
          <w:p>
            <w:pPr>
              <w:spacing w:line="276" w:lineRule="auto"/>
              <w:jc w:val="center"/>
              <w:rPr>
                <w:rFonts w:asciiTheme="minorEastAsia" w:hAnsiTheme="minorEastAsia"/>
                <w:szCs w:val="21"/>
              </w:rPr>
            </w:pPr>
            <w:r>
              <w:rPr>
                <w:rFonts w:hint="eastAsia" w:cs="Times New Roman" w:asciiTheme="minorEastAsia" w:hAnsiTheme="minorEastAsia"/>
                <w:szCs w:val="21"/>
              </w:rPr>
              <w:t>孙羿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02" w:hRule="atLeast"/>
          <w:jc w:val="center"/>
        </w:trPr>
        <w:tc>
          <w:tcPr>
            <w:tcW w:w="457" w:type="dxa"/>
            <w:vAlign w:val="center"/>
          </w:tcPr>
          <w:p>
            <w:pPr>
              <w:spacing w:line="276" w:lineRule="auto"/>
              <w:jc w:val="center"/>
              <w:rPr>
                <w:rFonts w:asciiTheme="minorEastAsia" w:hAnsiTheme="minorEastAsia"/>
                <w:szCs w:val="21"/>
              </w:rPr>
            </w:pPr>
            <w:r>
              <w:rPr>
                <w:rFonts w:hint="eastAsia" w:asciiTheme="minorEastAsia" w:hAnsiTheme="minorEastAsia"/>
                <w:szCs w:val="21"/>
              </w:rPr>
              <w:t>3</w:t>
            </w:r>
          </w:p>
        </w:tc>
        <w:tc>
          <w:tcPr>
            <w:tcW w:w="3525" w:type="dxa"/>
            <w:vAlign w:val="center"/>
          </w:tcPr>
          <w:p>
            <w:pPr>
              <w:spacing w:line="276" w:lineRule="auto"/>
              <w:jc w:val="center"/>
              <w:rPr>
                <w:rFonts w:asciiTheme="minorEastAsia" w:hAnsiTheme="minorEastAsia"/>
                <w:szCs w:val="21"/>
              </w:rPr>
            </w:pPr>
            <w:r>
              <w:rPr>
                <w:rFonts w:hint="eastAsia" w:cs="Times New Roman" w:asciiTheme="minorEastAsia" w:hAnsiTheme="minorEastAsia"/>
                <w:bCs/>
                <w:szCs w:val="21"/>
              </w:rPr>
              <w:t>Silibinin</w:t>
            </w:r>
            <w:r>
              <w:rPr>
                <w:rFonts w:cs="Times New Roman" w:asciiTheme="minorEastAsia" w:hAnsiTheme="minorEastAsia"/>
                <w:bCs/>
                <w:szCs w:val="21"/>
              </w:rPr>
              <w:t xml:space="preserve"> </w:t>
            </w:r>
            <w:r>
              <w:rPr>
                <w:rFonts w:hint="eastAsia" w:cs="Times New Roman" w:asciiTheme="minorEastAsia" w:hAnsiTheme="minorEastAsia"/>
                <w:bCs/>
                <w:szCs w:val="21"/>
              </w:rPr>
              <w:t>suppresses bladder cancer cell malignancy and chemoresistance in an NF-κB signal-dependent and signal-independent manner</w:t>
            </w:r>
          </w:p>
        </w:tc>
        <w:tc>
          <w:tcPr>
            <w:tcW w:w="3214" w:type="dxa"/>
            <w:vAlign w:val="center"/>
          </w:tcPr>
          <w:p>
            <w:pPr>
              <w:spacing w:line="276" w:lineRule="auto"/>
              <w:jc w:val="center"/>
              <w:rPr>
                <w:rFonts w:asciiTheme="minorEastAsia" w:hAnsiTheme="minorEastAsia"/>
                <w:szCs w:val="21"/>
              </w:rPr>
            </w:pPr>
            <w:r>
              <w:rPr>
                <w:rFonts w:hint="eastAsia" w:cs="Times New Roman" w:asciiTheme="minorEastAsia" w:hAnsiTheme="minorEastAsia"/>
                <w:bCs/>
                <w:szCs w:val="21"/>
              </w:rPr>
              <w:t>Int J Oncol, 2017, 51(4)</w:t>
            </w:r>
          </w:p>
        </w:tc>
        <w:tc>
          <w:tcPr>
            <w:tcW w:w="1417" w:type="dxa"/>
            <w:vAlign w:val="center"/>
          </w:tcPr>
          <w:p>
            <w:pPr>
              <w:spacing w:line="276" w:lineRule="auto"/>
              <w:jc w:val="center"/>
              <w:rPr>
                <w:rFonts w:asciiTheme="minorEastAsia" w:hAnsiTheme="minorEastAsia"/>
                <w:szCs w:val="21"/>
              </w:rPr>
            </w:pPr>
            <w:r>
              <w:rPr>
                <w:rFonts w:hint="eastAsia" w:cs="Times New Roman" w:asciiTheme="minorEastAsia" w:hAnsiTheme="minorEastAsia"/>
                <w:szCs w:val="21"/>
              </w:rPr>
              <w:t>孙羿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16" w:hRule="atLeast"/>
          <w:jc w:val="center"/>
        </w:trPr>
        <w:tc>
          <w:tcPr>
            <w:tcW w:w="457" w:type="dxa"/>
            <w:vAlign w:val="center"/>
          </w:tcPr>
          <w:p>
            <w:pPr>
              <w:spacing w:line="276" w:lineRule="auto"/>
              <w:jc w:val="center"/>
              <w:rPr>
                <w:rFonts w:asciiTheme="minorEastAsia" w:hAnsiTheme="minorEastAsia"/>
                <w:szCs w:val="21"/>
              </w:rPr>
            </w:pPr>
            <w:r>
              <w:rPr>
                <w:rFonts w:hint="eastAsia" w:asciiTheme="minorEastAsia" w:hAnsiTheme="minorEastAsia"/>
                <w:szCs w:val="21"/>
              </w:rPr>
              <w:t>4</w:t>
            </w:r>
          </w:p>
        </w:tc>
        <w:tc>
          <w:tcPr>
            <w:tcW w:w="3525" w:type="dxa"/>
            <w:vAlign w:val="center"/>
          </w:tcPr>
          <w:p>
            <w:pPr>
              <w:spacing w:line="276" w:lineRule="auto"/>
              <w:jc w:val="center"/>
              <w:rPr>
                <w:rFonts w:cs="Times New Roman" w:asciiTheme="minorEastAsia" w:hAnsiTheme="minorEastAsia"/>
                <w:bCs/>
                <w:szCs w:val="21"/>
              </w:rPr>
            </w:pPr>
            <w:r>
              <w:rPr>
                <w:rFonts w:cs="Times New Roman" w:asciiTheme="minorEastAsia" w:hAnsiTheme="minorEastAsia"/>
                <w:bCs/>
                <w:szCs w:val="21"/>
              </w:rPr>
              <w:t>Fisetin, a dietary flavonoid, induces cell cycle arrest and apoptosis through activation of p53 and inhibition of NF-kappa B pathways in bladder cancer cells.</w:t>
            </w:r>
          </w:p>
        </w:tc>
        <w:tc>
          <w:tcPr>
            <w:tcW w:w="3214" w:type="dxa"/>
            <w:vAlign w:val="center"/>
          </w:tcPr>
          <w:p>
            <w:pPr>
              <w:spacing w:line="276" w:lineRule="auto"/>
              <w:jc w:val="center"/>
              <w:rPr>
                <w:rFonts w:cs="Times New Roman" w:asciiTheme="minorEastAsia" w:hAnsiTheme="minorEastAsia"/>
                <w:bCs/>
                <w:szCs w:val="21"/>
              </w:rPr>
            </w:pPr>
            <w:r>
              <w:rPr>
                <w:rFonts w:cs="Times New Roman" w:asciiTheme="minorEastAsia" w:hAnsiTheme="minorEastAsia"/>
                <w:bCs/>
                <w:szCs w:val="21"/>
              </w:rPr>
              <w:t>Basic Clin Pharmacol Toxicol, 2011. 108(2): p. 84-93</w:t>
            </w:r>
          </w:p>
        </w:tc>
        <w:tc>
          <w:tcPr>
            <w:tcW w:w="1417" w:type="dxa"/>
            <w:vAlign w:val="center"/>
          </w:tcPr>
          <w:p>
            <w:pPr>
              <w:spacing w:line="276" w:lineRule="auto"/>
              <w:jc w:val="center"/>
              <w:rPr>
                <w:rFonts w:cs="Times New Roman" w:asciiTheme="minorEastAsia" w:hAnsiTheme="minorEastAsia"/>
                <w:bCs/>
                <w:szCs w:val="21"/>
              </w:rPr>
            </w:pPr>
            <w:r>
              <w:rPr>
                <w:rFonts w:hint="eastAsia" w:cs="Times New Roman" w:asciiTheme="minorEastAsia" w:hAnsiTheme="minorEastAsia"/>
                <w:bCs/>
                <w:szCs w:val="21"/>
              </w:rPr>
              <w:t>李晶、孙羿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36" w:hRule="atLeast"/>
          <w:jc w:val="center"/>
        </w:trPr>
        <w:tc>
          <w:tcPr>
            <w:tcW w:w="457" w:type="dxa"/>
            <w:vAlign w:val="center"/>
          </w:tcPr>
          <w:p>
            <w:pPr>
              <w:spacing w:line="276" w:lineRule="auto"/>
              <w:jc w:val="center"/>
              <w:rPr>
                <w:rFonts w:asciiTheme="minorEastAsia" w:hAnsiTheme="minorEastAsia"/>
                <w:szCs w:val="21"/>
              </w:rPr>
            </w:pPr>
            <w:r>
              <w:rPr>
                <w:rFonts w:hint="eastAsia" w:asciiTheme="minorEastAsia" w:hAnsiTheme="minorEastAsia"/>
                <w:szCs w:val="21"/>
              </w:rPr>
              <w:t>5</w:t>
            </w:r>
          </w:p>
        </w:tc>
        <w:tc>
          <w:tcPr>
            <w:tcW w:w="3525" w:type="dxa"/>
            <w:vAlign w:val="center"/>
          </w:tcPr>
          <w:p>
            <w:pPr>
              <w:spacing w:line="276" w:lineRule="auto"/>
              <w:jc w:val="center"/>
              <w:rPr>
                <w:rFonts w:cs="Times New Roman" w:asciiTheme="minorEastAsia" w:hAnsiTheme="minorEastAsia"/>
                <w:bCs/>
                <w:szCs w:val="21"/>
              </w:rPr>
            </w:pPr>
            <w:r>
              <w:rPr>
                <w:rFonts w:cs="Times New Roman" w:asciiTheme="minorEastAsia" w:hAnsiTheme="minorEastAsia"/>
                <w:bCs/>
                <w:szCs w:val="21"/>
              </w:rPr>
              <w:t>漆黄素对大鼠膀胱癌的预防作用及其机制研究</w:t>
            </w:r>
          </w:p>
        </w:tc>
        <w:tc>
          <w:tcPr>
            <w:tcW w:w="3214" w:type="dxa"/>
            <w:vAlign w:val="center"/>
          </w:tcPr>
          <w:p>
            <w:pPr>
              <w:spacing w:line="276" w:lineRule="auto"/>
              <w:jc w:val="center"/>
              <w:rPr>
                <w:rFonts w:cs="Times New Roman" w:asciiTheme="minorEastAsia" w:hAnsiTheme="minorEastAsia"/>
                <w:bCs/>
                <w:szCs w:val="21"/>
              </w:rPr>
            </w:pPr>
            <w:r>
              <w:rPr>
                <w:rFonts w:cs="Times New Roman" w:asciiTheme="minorEastAsia" w:hAnsiTheme="minorEastAsia"/>
                <w:bCs/>
                <w:szCs w:val="21"/>
              </w:rPr>
              <w:t>现代肿瘤医学,2014,07:1514-1519</w:t>
            </w:r>
          </w:p>
        </w:tc>
        <w:tc>
          <w:tcPr>
            <w:tcW w:w="1417" w:type="dxa"/>
            <w:vAlign w:val="center"/>
          </w:tcPr>
          <w:p>
            <w:pPr>
              <w:spacing w:line="276" w:lineRule="auto"/>
              <w:jc w:val="center"/>
              <w:rPr>
                <w:rFonts w:cs="Times New Roman" w:asciiTheme="minorEastAsia" w:hAnsiTheme="minorEastAsia"/>
                <w:bCs/>
                <w:szCs w:val="21"/>
              </w:rPr>
            </w:pPr>
            <w:r>
              <w:rPr>
                <w:rFonts w:hint="eastAsia" w:cs="Times New Roman" w:asciiTheme="minorEastAsia" w:hAnsiTheme="minorEastAsia"/>
                <w:bCs/>
                <w:szCs w:val="21"/>
              </w:rPr>
              <w:t>李晶</w:t>
            </w:r>
          </w:p>
        </w:tc>
      </w:tr>
    </w:tbl>
    <w:p>
      <w:pPr>
        <w:spacing w:line="360" w:lineRule="auto"/>
        <w:rPr>
          <w:rFonts w:asciiTheme="minorEastAsia" w:hAnsiTheme="minorEastAsia"/>
          <w:b/>
          <w:sz w:val="24"/>
          <w:szCs w:val="24"/>
        </w:rPr>
      </w:pPr>
      <w:r>
        <w:rPr>
          <w:rFonts w:hint="eastAsia" w:asciiTheme="minorEastAsia" w:hAnsiTheme="minorEastAsia"/>
          <w:b/>
          <w:sz w:val="24"/>
          <w:szCs w:val="24"/>
        </w:rPr>
        <w:t>5 完成人合作关系：</w:t>
      </w:r>
    </w:p>
    <w:p>
      <w:pPr>
        <w:spacing w:line="360" w:lineRule="auto"/>
        <w:ind w:firstLine="480" w:firstLineChars="200"/>
        <w:rPr>
          <w:sz w:val="24"/>
          <w:szCs w:val="24"/>
        </w:rPr>
      </w:pPr>
      <w:r>
        <w:rPr>
          <w:rFonts w:hint="eastAsia"/>
          <w:sz w:val="24"/>
          <w:szCs w:val="24"/>
        </w:rPr>
        <w:t>陕西省人民医院为项目主持单位，西北工业大学协作完成。</w:t>
      </w:r>
    </w:p>
    <w:p>
      <w:pPr>
        <w:spacing w:line="360" w:lineRule="auto"/>
        <w:rPr>
          <w:rFonts w:asciiTheme="minorEastAsia" w:hAnsiTheme="minorEastAsia"/>
          <w:b/>
          <w:sz w:val="24"/>
          <w:szCs w:val="24"/>
        </w:rPr>
      </w:pPr>
      <w:r>
        <w:rPr>
          <w:rFonts w:hint="eastAsia" w:asciiTheme="minorEastAsia" w:hAnsiTheme="minorEastAsia"/>
          <w:b/>
          <w:sz w:val="24"/>
          <w:szCs w:val="24"/>
        </w:rPr>
        <w:t>6 提名者：</w:t>
      </w:r>
    </w:p>
    <w:p>
      <w:pPr>
        <w:spacing w:line="360" w:lineRule="auto"/>
        <w:ind w:firstLine="480" w:firstLineChars="200"/>
        <w:rPr>
          <w:rFonts w:hint="eastAsia"/>
          <w:sz w:val="24"/>
          <w:szCs w:val="24"/>
        </w:rPr>
      </w:pPr>
      <w:r>
        <w:rPr>
          <w:rFonts w:hint="eastAsia"/>
          <w:sz w:val="24"/>
          <w:szCs w:val="24"/>
        </w:rPr>
        <w:t>陕西省卫生健康委员会</w:t>
      </w:r>
    </w:p>
    <w:p>
      <w:pPr>
        <w:spacing w:line="360" w:lineRule="auto"/>
        <w:ind w:firstLine="480" w:firstLineChars="200"/>
        <w:rPr>
          <w:rFonts w:hint="eastAsia" w:eastAsiaTheme="minorEastAsia"/>
          <w:sz w:val="24"/>
          <w:szCs w:val="24"/>
          <w:lang w:eastAsia="zh-CN"/>
        </w:rPr>
      </w:pPr>
      <w:r>
        <w:rPr>
          <w:rFonts w:hint="eastAsia"/>
          <w:sz w:val="24"/>
          <w:szCs w:val="24"/>
          <w:lang w:val="en-US" w:eastAsia="zh-CN"/>
        </w:rPr>
        <w:t>提名意见：</w:t>
      </w:r>
      <w:r>
        <w:rPr>
          <w:rFonts w:hint="eastAsia"/>
          <w:sz w:val="24"/>
          <w:szCs w:val="24"/>
        </w:rPr>
        <w:t>拟提名陕西省科学技术进步奖</w:t>
      </w:r>
      <w:r>
        <w:rPr>
          <w:rFonts w:hint="eastAsia"/>
          <w:sz w:val="24"/>
          <w:szCs w:val="24"/>
          <w:lang w:eastAsia="zh-CN"/>
        </w:rPr>
        <w:t>。</w:t>
      </w:r>
    </w:p>
    <w:p>
      <w:pPr>
        <w:widowControl/>
        <w:jc w:val="left"/>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TKaiti">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w:altName w:val="Courier New"/>
    <w:panose1 w:val="02070409020205020404"/>
    <w:charset w:val="00"/>
    <w:family w:val="modern"/>
    <w:pitch w:val="default"/>
    <w:sig w:usb0="00000000" w:usb1="00000000" w:usb2="00000000" w:usb3="00000000" w:csb0="00000001" w:csb1="00000000"/>
  </w:font>
  <w:font w:name="华文楷体">
    <w:altName w:val="宋体"/>
    <w:panose1 w:val="02010600040101010101"/>
    <w:charset w:val="86"/>
    <w:family w:val="auto"/>
    <w:pitch w:val="default"/>
    <w:sig w:usb0="00000000" w:usb1="00000000" w:usb2="00000010" w:usb3="00000000" w:csb0="0004009F" w:csb1="00000000"/>
  </w:font>
  <w:font w:name="Courier New">
    <w:panose1 w:val="020703090202050204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27AF"/>
    <w:rsid w:val="0002779E"/>
    <w:rsid w:val="00082BBF"/>
    <w:rsid w:val="0011798C"/>
    <w:rsid w:val="001263B3"/>
    <w:rsid w:val="00150651"/>
    <w:rsid w:val="001A3246"/>
    <w:rsid w:val="001B1014"/>
    <w:rsid w:val="001C3D20"/>
    <w:rsid w:val="001C62DB"/>
    <w:rsid w:val="00282F05"/>
    <w:rsid w:val="002D6ACF"/>
    <w:rsid w:val="003024FF"/>
    <w:rsid w:val="00335D26"/>
    <w:rsid w:val="00346A63"/>
    <w:rsid w:val="00352C7C"/>
    <w:rsid w:val="003D36E6"/>
    <w:rsid w:val="003D5501"/>
    <w:rsid w:val="00445AD6"/>
    <w:rsid w:val="00477691"/>
    <w:rsid w:val="00493896"/>
    <w:rsid w:val="004A37BE"/>
    <w:rsid w:val="004B3545"/>
    <w:rsid w:val="004D115C"/>
    <w:rsid w:val="0052626E"/>
    <w:rsid w:val="00540A08"/>
    <w:rsid w:val="00587E43"/>
    <w:rsid w:val="006109C7"/>
    <w:rsid w:val="00647D7A"/>
    <w:rsid w:val="00705AC8"/>
    <w:rsid w:val="00720637"/>
    <w:rsid w:val="00750F35"/>
    <w:rsid w:val="00792A00"/>
    <w:rsid w:val="007A13C0"/>
    <w:rsid w:val="007B0B18"/>
    <w:rsid w:val="007D27AF"/>
    <w:rsid w:val="007E0565"/>
    <w:rsid w:val="00812B77"/>
    <w:rsid w:val="00834D9C"/>
    <w:rsid w:val="0090389D"/>
    <w:rsid w:val="009246B2"/>
    <w:rsid w:val="00964573"/>
    <w:rsid w:val="00974D66"/>
    <w:rsid w:val="00991AFF"/>
    <w:rsid w:val="009D7839"/>
    <w:rsid w:val="00A00226"/>
    <w:rsid w:val="00A27EB8"/>
    <w:rsid w:val="00A71F44"/>
    <w:rsid w:val="00A818BE"/>
    <w:rsid w:val="00A877F7"/>
    <w:rsid w:val="00AF7E08"/>
    <w:rsid w:val="00B02D04"/>
    <w:rsid w:val="00BA43C7"/>
    <w:rsid w:val="00BA74F9"/>
    <w:rsid w:val="00BD4F74"/>
    <w:rsid w:val="00BF6C7D"/>
    <w:rsid w:val="00C23023"/>
    <w:rsid w:val="00C871F7"/>
    <w:rsid w:val="00CA420B"/>
    <w:rsid w:val="00D2723D"/>
    <w:rsid w:val="00D47976"/>
    <w:rsid w:val="00D53850"/>
    <w:rsid w:val="00DB072E"/>
    <w:rsid w:val="00DB2E7E"/>
    <w:rsid w:val="00DB787C"/>
    <w:rsid w:val="00DC0419"/>
    <w:rsid w:val="00DC4FA5"/>
    <w:rsid w:val="00DE0602"/>
    <w:rsid w:val="00DF4681"/>
    <w:rsid w:val="00DF5AF9"/>
    <w:rsid w:val="00DF6223"/>
    <w:rsid w:val="00E83E3D"/>
    <w:rsid w:val="00E8544C"/>
    <w:rsid w:val="00EC154F"/>
    <w:rsid w:val="00ED5C1A"/>
    <w:rsid w:val="00F92847"/>
    <w:rsid w:val="00FF2D0D"/>
    <w:rsid w:val="00FF4A2C"/>
    <w:rsid w:val="4A5D781E"/>
    <w:rsid w:val="505C2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rFonts w:cs="Times New Roman"/>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9">
    <w:name w:val="Hyperlink"/>
    <w:qFormat/>
    <w:uiPriority w:val="99"/>
    <w:rPr>
      <w:color w:val="0000FF"/>
      <w:u w:val="single"/>
    </w:rPr>
  </w:style>
  <w:style w:type="character" w:customStyle="1" w:styleId="10">
    <w:name w:val="页眉 Char"/>
    <w:basedOn w:val="8"/>
    <w:link w:val="4"/>
    <w:semiHidden/>
    <w:uiPriority w:val="99"/>
    <w:rPr>
      <w:sz w:val="18"/>
      <w:szCs w:val="18"/>
    </w:rPr>
  </w:style>
  <w:style w:type="character" w:customStyle="1" w:styleId="11">
    <w:name w:val="页脚 Char"/>
    <w:basedOn w:val="8"/>
    <w:link w:val="3"/>
    <w:semiHidden/>
    <w:uiPriority w:val="99"/>
    <w:rPr>
      <w:sz w:val="18"/>
      <w:szCs w:val="18"/>
    </w:rPr>
  </w:style>
  <w:style w:type="character" w:customStyle="1" w:styleId="12">
    <w:name w:val="批注框文本 Char"/>
    <w:basedOn w:val="8"/>
    <w:link w:val="2"/>
    <w:semiHidden/>
    <w:uiPriority w:val="99"/>
    <w:rPr>
      <w:sz w:val="18"/>
      <w:szCs w:val="18"/>
    </w:rPr>
  </w:style>
  <w:style w:type="paragraph" w:styleId="13">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spph</Company>
  <Pages>24</Pages>
  <Words>3786</Words>
  <Characters>21583</Characters>
  <Lines>179</Lines>
  <Paragraphs>50</Paragraphs>
  <TotalTime>197</TotalTime>
  <ScaleCrop>false</ScaleCrop>
  <LinksUpToDate>false</LinksUpToDate>
  <CharactersWithSpaces>25319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2017-03-27T01:55:00Z</dcterms:created>
  <dc:creator>123</dc:creator>
  <cp:lastModifiedBy>37046</cp:lastModifiedBy>
  <cp:lastPrinted>2019-06-19T08:42:00Z</cp:lastPrinted>
  <dcterms:modified xsi:type="dcterms:W3CDTF">2019-06-27T16:21:25Z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