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EastAsia" w:hAnsiTheme="minorEastAsia"/>
          <w:b/>
          <w:sz w:val="28"/>
          <w:szCs w:val="28"/>
        </w:rPr>
      </w:pPr>
      <w:r>
        <w:rPr>
          <w:rFonts w:hint="eastAsia" w:asciiTheme="minorEastAsia" w:hAnsiTheme="minorEastAsia"/>
          <w:b/>
          <w:sz w:val="28"/>
          <w:szCs w:val="28"/>
        </w:rPr>
        <w:t>项目</w:t>
      </w:r>
      <w:r>
        <w:rPr>
          <w:rFonts w:hint="eastAsia" w:asciiTheme="minorEastAsia" w:hAnsiTheme="minorEastAsia"/>
          <w:b/>
          <w:sz w:val="28"/>
          <w:szCs w:val="28"/>
          <w:lang w:val="en-US" w:eastAsia="zh-CN"/>
        </w:rPr>
        <w:t>名称</w:t>
      </w:r>
      <w:bookmarkStart w:id="0" w:name="_GoBack"/>
      <w:bookmarkEnd w:id="0"/>
      <w:r>
        <w:rPr>
          <w:rFonts w:hint="eastAsia" w:asciiTheme="minorEastAsia" w:hAnsiTheme="minorEastAsia"/>
          <w:b/>
          <w:sz w:val="28"/>
          <w:szCs w:val="28"/>
        </w:rPr>
        <w:t>：带线锚钉不对称缝合法修复跟腱断裂的临床应用</w:t>
      </w:r>
    </w:p>
    <w:p>
      <w:pPr>
        <w:spacing w:line="360" w:lineRule="auto"/>
        <w:rPr>
          <w:rFonts w:asciiTheme="minorEastAsia" w:hAnsiTheme="minorEastAsia"/>
          <w:sz w:val="28"/>
          <w:szCs w:val="28"/>
        </w:rPr>
      </w:pPr>
      <w:r>
        <w:rPr>
          <w:rFonts w:hint="eastAsia" w:asciiTheme="minorEastAsia" w:hAnsiTheme="minorEastAsia"/>
          <w:b/>
          <w:sz w:val="24"/>
          <w:szCs w:val="24"/>
        </w:rPr>
        <w:t>1 主要完成单位及创新推广贡献：</w:t>
      </w:r>
      <w:r>
        <w:rPr>
          <w:rFonts w:hint="eastAsia" w:asciiTheme="minorEastAsia" w:hAnsiTheme="minorEastAsia"/>
          <w:sz w:val="24"/>
          <w:szCs w:val="24"/>
        </w:rPr>
        <w:t>陕西省人民医院</w:t>
      </w:r>
    </w:p>
    <w:p>
      <w:pPr>
        <w:spacing w:line="360" w:lineRule="auto"/>
        <w:rPr>
          <w:rFonts w:asciiTheme="minorEastAsia" w:hAnsiTheme="minorEastAsia"/>
          <w:b/>
          <w:sz w:val="24"/>
          <w:szCs w:val="24"/>
        </w:rPr>
      </w:pPr>
      <w:r>
        <w:rPr>
          <w:rFonts w:hint="eastAsia" w:asciiTheme="minorEastAsia" w:hAnsiTheme="minorEastAsia"/>
          <w:b/>
          <w:sz w:val="24"/>
          <w:szCs w:val="24"/>
        </w:rPr>
        <w:t>2 主要完成人情况：</w:t>
      </w:r>
    </w:p>
    <w:tbl>
      <w:tblPr>
        <w:tblStyle w:val="3"/>
        <w:tblW w:w="9493"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942"/>
        <w:gridCol w:w="1307"/>
        <w:gridCol w:w="1073"/>
        <w:gridCol w:w="1762"/>
        <w:gridCol w:w="1721"/>
        <w:gridCol w:w="1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exact"/>
          <w:jc w:val="center"/>
        </w:trPr>
        <w:tc>
          <w:tcPr>
            <w:tcW w:w="729" w:type="dxa"/>
            <w:vAlign w:val="center"/>
          </w:tcPr>
          <w:p>
            <w:pPr>
              <w:adjustRightInd w:val="0"/>
              <w:snapToGrid w:val="0"/>
              <w:spacing w:line="276" w:lineRule="auto"/>
              <w:ind w:left="354" w:hanging="354" w:hangingChars="168"/>
              <w:jc w:val="center"/>
              <w:rPr>
                <w:rFonts w:asciiTheme="minorEastAsia" w:hAnsiTheme="minorEastAsia"/>
                <w:b/>
                <w:bCs/>
                <w:szCs w:val="21"/>
              </w:rPr>
            </w:pPr>
            <w:r>
              <w:rPr>
                <w:rFonts w:hint="eastAsia" w:asciiTheme="minorEastAsia" w:hAnsiTheme="minorEastAsia"/>
                <w:b/>
                <w:bCs/>
                <w:szCs w:val="21"/>
              </w:rPr>
              <w:t>序号</w:t>
            </w:r>
          </w:p>
        </w:tc>
        <w:tc>
          <w:tcPr>
            <w:tcW w:w="942"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姓名</w:t>
            </w:r>
          </w:p>
        </w:tc>
        <w:tc>
          <w:tcPr>
            <w:tcW w:w="1307"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技术职称</w:t>
            </w:r>
          </w:p>
        </w:tc>
        <w:tc>
          <w:tcPr>
            <w:tcW w:w="1073"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行政职务</w:t>
            </w:r>
          </w:p>
        </w:tc>
        <w:tc>
          <w:tcPr>
            <w:tcW w:w="1762"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工作单位</w:t>
            </w:r>
          </w:p>
        </w:tc>
        <w:tc>
          <w:tcPr>
            <w:tcW w:w="1721"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完成单位</w:t>
            </w:r>
          </w:p>
        </w:tc>
        <w:tc>
          <w:tcPr>
            <w:tcW w:w="1959"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exact"/>
          <w:jc w:val="center"/>
        </w:trPr>
        <w:tc>
          <w:tcPr>
            <w:tcW w:w="72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1</w:t>
            </w:r>
          </w:p>
        </w:tc>
        <w:tc>
          <w:tcPr>
            <w:tcW w:w="94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祁洁</w:t>
            </w:r>
          </w:p>
        </w:tc>
        <w:tc>
          <w:tcPr>
            <w:tcW w:w="1307"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主任医师</w:t>
            </w:r>
          </w:p>
        </w:tc>
        <w:tc>
          <w:tcPr>
            <w:tcW w:w="1073"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176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72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95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手术方法发明者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exact"/>
          <w:jc w:val="center"/>
        </w:trPr>
        <w:tc>
          <w:tcPr>
            <w:tcW w:w="72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2</w:t>
            </w:r>
          </w:p>
        </w:tc>
        <w:tc>
          <w:tcPr>
            <w:tcW w:w="94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段亮</w:t>
            </w:r>
          </w:p>
        </w:tc>
        <w:tc>
          <w:tcPr>
            <w:tcW w:w="1307"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主治医师</w:t>
            </w:r>
          </w:p>
        </w:tc>
        <w:tc>
          <w:tcPr>
            <w:tcW w:w="1073"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176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72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95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手术参与及患者管理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72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3</w:t>
            </w:r>
          </w:p>
        </w:tc>
        <w:tc>
          <w:tcPr>
            <w:tcW w:w="94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卫文博</w:t>
            </w:r>
          </w:p>
        </w:tc>
        <w:tc>
          <w:tcPr>
            <w:tcW w:w="1307"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主治医师</w:t>
            </w:r>
          </w:p>
        </w:tc>
        <w:tc>
          <w:tcPr>
            <w:tcW w:w="1073"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176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72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95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手术参与及患者管理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exact"/>
          <w:jc w:val="center"/>
        </w:trPr>
        <w:tc>
          <w:tcPr>
            <w:tcW w:w="72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4</w:t>
            </w:r>
          </w:p>
        </w:tc>
        <w:tc>
          <w:tcPr>
            <w:tcW w:w="94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魏益群</w:t>
            </w:r>
          </w:p>
        </w:tc>
        <w:tc>
          <w:tcPr>
            <w:tcW w:w="1307"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副主任医师</w:t>
            </w:r>
          </w:p>
        </w:tc>
        <w:tc>
          <w:tcPr>
            <w:tcW w:w="1073"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176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72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959" w:type="dxa"/>
            <w:vAlign w:val="center"/>
          </w:tcPr>
          <w:p>
            <w:pPr>
              <w:pStyle w:val="2"/>
              <w:widowControl/>
              <w:jc w:val="center"/>
              <w:rPr>
                <w:rFonts w:asciiTheme="minorEastAsia" w:hAnsiTheme="minorEastAsia"/>
                <w:bCs/>
                <w:kern w:val="2"/>
                <w:sz w:val="21"/>
                <w:szCs w:val="21"/>
              </w:rPr>
            </w:pPr>
            <w:r>
              <w:rPr>
                <w:rFonts w:hint="eastAsia" w:asciiTheme="minorEastAsia" w:hAnsiTheme="minorEastAsia" w:cstheme="minorBidi"/>
                <w:bCs/>
                <w:kern w:val="2"/>
                <w:sz w:val="21"/>
                <w:szCs w:val="21"/>
              </w:rPr>
              <w:t>患者围手术期评估及统计分析</w:t>
            </w:r>
          </w:p>
          <w:p>
            <w:pPr>
              <w:adjustRightInd w:val="0"/>
              <w:snapToGrid w:val="0"/>
              <w:spacing w:line="276" w:lineRule="auto"/>
              <w:jc w:val="center"/>
              <w:rPr>
                <w:rFonts w:asciiTheme="minorEastAsia" w:hAnsi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exact"/>
          <w:jc w:val="center"/>
        </w:trPr>
        <w:tc>
          <w:tcPr>
            <w:tcW w:w="72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5</w:t>
            </w:r>
          </w:p>
        </w:tc>
        <w:tc>
          <w:tcPr>
            <w:tcW w:w="94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胡炜</w:t>
            </w:r>
          </w:p>
        </w:tc>
        <w:tc>
          <w:tcPr>
            <w:tcW w:w="1307"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副主任医师</w:t>
            </w:r>
          </w:p>
        </w:tc>
        <w:tc>
          <w:tcPr>
            <w:tcW w:w="1073"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176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72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959" w:type="dxa"/>
            <w:vAlign w:val="center"/>
          </w:tcPr>
          <w:p>
            <w:pPr>
              <w:pStyle w:val="2"/>
              <w:widowControl/>
              <w:jc w:val="center"/>
              <w:rPr>
                <w:rFonts w:asciiTheme="minorEastAsia" w:hAnsiTheme="minorEastAsia"/>
                <w:bCs/>
                <w:kern w:val="2"/>
                <w:sz w:val="21"/>
                <w:szCs w:val="21"/>
              </w:rPr>
            </w:pPr>
            <w:r>
              <w:rPr>
                <w:rFonts w:hint="eastAsia" w:asciiTheme="minorEastAsia" w:hAnsiTheme="minorEastAsia" w:cstheme="minorBidi"/>
                <w:bCs/>
                <w:kern w:val="2"/>
                <w:sz w:val="21"/>
                <w:szCs w:val="21"/>
              </w:rPr>
              <w:t>患者围手术期评估及统计分析</w:t>
            </w:r>
          </w:p>
          <w:p>
            <w:pPr>
              <w:adjustRightInd w:val="0"/>
              <w:snapToGrid w:val="0"/>
              <w:spacing w:line="276" w:lineRule="auto"/>
              <w:jc w:val="center"/>
              <w:rPr>
                <w:rFonts w:asciiTheme="minorEastAsia" w:hAnsi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exact"/>
          <w:jc w:val="center"/>
        </w:trPr>
        <w:tc>
          <w:tcPr>
            <w:tcW w:w="72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6</w:t>
            </w:r>
          </w:p>
        </w:tc>
        <w:tc>
          <w:tcPr>
            <w:tcW w:w="94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杨禹娟</w:t>
            </w:r>
          </w:p>
        </w:tc>
        <w:tc>
          <w:tcPr>
            <w:tcW w:w="1307"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主治医师</w:t>
            </w:r>
          </w:p>
        </w:tc>
        <w:tc>
          <w:tcPr>
            <w:tcW w:w="1073"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176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72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95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病例资料整理及随访</w:t>
            </w:r>
          </w:p>
          <w:p>
            <w:pPr>
              <w:adjustRightInd w:val="0"/>
              <w:snapToGrid w:val="0"/>
              <w:spacing w:line="276" w:lineRule="auto"/>
              <w:jc w:val="center"/>
              <w:rPr>
                <w:rFonts w:asciiTheme="minorEastAsia" w:hAnsi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exact"/>
          <w:jc w:val="center"/>
        </w:trPr>
        <w:tc>
          <w:tcPr>
            <w:tcW w:w="72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7</w:t>
            </w:r>
          </w:p>
        </w:tc>
        <w:tc>
          <w:tcPr>
            <w:tcW w:w="94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李伟伟</w:t>
            </w:r>
          </w:p>
        </w:tc>
        <w:tc>
          <w:tcPr>
            <w:tcW w:w="1307"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主治医师</w:t>
            </w:r>
          </w:p>
        </w:tc>
        <w:tc>
          <w:tcPr>
            <w:tcW w:w="1073"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1762"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72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陕西省人民医院</w:t>
            </w:r>
          </w:p>
        </w:tc>
        <w:tc>
          <w:tcPr>
            <w:tcW w:w="1959"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康复锻炼指导</w:t>
            </w:r>
          </w:p>
        </w:tc>
      </w:tr>
    </w:tbl>
    <w:p>
      <w:pPr>
        <w:spacing w:line="360" w:lineRule="auto"/>
        <w:rPr>
          <w:rFonts w:asciiTheme="minorEastAsia" w:hAnsiTheme="minorEastAsia"/>
          <w:b/>
          <w:sz w:val="24"/>
          <w:szCs w:val="24"/>
        </w:rPr>
      </w:pPr>
      <w:r>
        <w:rPr>
          <w:rFonts w:hint="eastAsia" w:asciiTheme="minorEastAsia" w:hAnsiTheme="minorEastAsia"/>
          <w:b/>
          <w:sz w:val="24"/>
          <w:szCs w:val="24"/>
        </w:rPr>
        <w:t>3 项目简介、客观评价及应用情况：</w:t>
      </w:r>
    </w:p>
    <w:p>
      <w:pPr>
        <w:ind w:firstLine="480" w:firstLineChars="200"/>
        <w:rPr>
          <w:rFonts w:asciiTheme="minorEastAsia" w:hAnsiTheme="minorEastAsia"/>
          <w:b/>
          <w:sz w:val="24"/>
          <w:szCs w:val="24"/>
        </w:rPr>
      </w:pPr>
      <w:r>
        <w:rPr>
          <w:rFonts w:hint="eastAsia" w:asciiTheme="minorEastAsia" w:hAnsiTheme="minorEastAsia"/>
          <w:bCs/>
          <w:sz w:val="24"/>
          <w:szCs w:val="24"/>
        </w:rPr>
        <w:t>带线锚钉不对称缝合法修复跟腱断裂是陕西省人民医院骨科祁洁团队独立设计的全新手术方法。跟腱断裂是常见的运动损伤，多为自发性断裂，因此跟腱断面呈撕脱样不齐的马尾型断端。传统修复方法借助缝线在跟腱中的穿行提供拉力。由于无法保证缝线穿越足够数量的肌腱纤维，且拉伸后断裂的肌腱纤维本身已经无法有效的承载缝线的拉力。因此，传统的修复方法存在跟腱再次断裂，无法早期运动，跟腱延长而提踵无力等较高的并发症。该项目发明了一种全新的手术方法：通过将带线锚钉植入跟骨，将以往腱腱吻合改为腱骨连接。通过改革缝线的穿梭途径改变了跟腱断端两侧的受力状态。该方法有以下根本性创新：⑴带线锚钉成为肌腱在跟骨侧残端拉力的承载者，力学连接方式改为腱对骨连接；⑵不对称缝合法使所有拉力由跟骨直接提供，贯穿的缝线避免了对肌腱的切割作用，且由于远近断端缝线的不对称穿梭方式使断端间分离趋势张应力变成了靠拢趋势的压应力。所以，这种方法修复的跟腱即便手术后早期活动，仍然保证了断端无张力愈合。⑶肌腱吻合处增加了可吸收线连续缝合。该技术保证功能锻炼时断端始终接触，而且促使吻合处表面光滑，减少粘连的发生。⑷患者可以在麻醉结束后立即开始康复锻炼，无需传统手术后的外固定制动，避免了跟腱再断裂，跟腱延迟，皮肤不愈合，皮肤粘连等并发症。该方法已经历近10年临床考验，目前已推广至省内外多家医院，均在临床获得了良好效果。</w:t>
      </w:r>
    </w:p>
    <w:p>
      <w:pPr>
        <w:spacing w:line="360" w:lineRule="auto"/>
        <w:rPr>
          <w:rFonts w:asciiTheme="minorEastAsia" w:hAnsiTheme="minorEastAsia"/>
          <w:b/>
          <w:sz w:val="24"/>
          <w:szCs w:val="24"/>
        </w:rPr>
      </w:pPr>
      <w:r>
        <w:rPr>
          <w:rFonts w:hint="eastAsia" w:asciiTheme="minorEastAsia" w:hAnsiTheme="minorEastAsia"/>
          <w:b/>
          <w:sz w:val="24"/>
          <w:szCs w:val="24"/>
        </w:rPr>
        <w:t>4 主要知识产权和标准规范等目录：</w:t>
      </w:r>
    </w:p>
    <w:tbl>
      <w:tblPr>
        <w:tblStyle w:val="4"/>
        <w:tblW w:w="9526" w:type="dxa"/>
        <w:tblInd w:w="-17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1"/>
        <w:gridCol w:w="3931"/>
        <w:gridCol w:w="2616"/>
        <w:gridCol w:w="23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46" w:hRule="atLeast"/>
        </w:trPr>
        <w:tc>
          <w:tcPr>
            <w:tcW w:w="671" w:type="dxa"/>
            <w:vAlign w:val="center"/>
          </w:tcPr>
          <w:p>
            <w:pPr>
              <w:spacing w:line="276" w:lineRule="auto"/>
              <w:jc w:val="center"/>
              <w:rPr>
                <w:rFonts w:asciiTheme="minorEastAsia" w:hAnsiTheme="minorEastAsia"/>
                <w:b/>
                <w:szCs w:val="21"/>
              </w:rPr>
            </w:pPr>
            <w:r>
              <w:rPr>
                <w:rFonts w:hint="eastAsia" w:asciiTheme="minorEastAsia" w:hAnsiTheme="minorEastAsia"/>
                <w:b/>
                <w:szCs w:val="21"/>
              </w:rPr>
              <w:t>序号</w:t>
            </w:r>
          </w:p>
        </w:tc>
        <w:tc>
          <w:tcPr>
            <w:tcW w:w="3931" w:type="dxa"/>
            <w:vAlign w:val="center"/>
          </w:tcPr>
          <w:p>
            <w:pPr>
              <w:spacing w:line="276" w:lineRule="auto"/>
              <w:jc w:val="center"/>
              <w:rPr>
                <w:rFonts w:asciiTheme="minorEastAsia" w:hAnsiTheme="minorEastAsia"/>
                <w:b/>
                <w:szCs w:val="21"/>
              </w:rPr>
            </w:pPr>
            <w:r>
              <w:rPr>
                <w:rFonts w:hint="eastAsia" w:asciiTheme="minorEastAsia" w:hAnsiTheme="minorEastAsia"/>
                <w:b/>
                <w:szCs w:val="21"/>
              </w:rPr>
              <w:t>论文名称</w:t>
            </w:r>
          </w:p>
        </w:tc>
        <w:tc>
          <w:tcPr>
            <w:tcW w:w="2616" w:type="dxa"/>
            <w:vAlign w:val="center"/>
          </w:tcPr>
          <w:p>
            <w:pPr>
              <w:spacing w:line="276" w:lineRule="auto"/>
              <w:jc w:val="left"/>
              <w:rPr>
                <w:rFonts w:asciiTheme="minorEastAsia" w:hAnsiTheme="minorEastAsia"/>
                <w:b/>
                <w:szCs w:val="21"/>
              </w:rPr>
            </w:pPr>
            <w:r>
              <w:rPr>
                <w:rFonts w:hint="eastAsia" w:asciiTheme="minorEastAsia" w:hAnsiTheme="minorEastAsia"/>
                <w:b/>
                <w:szCs w:val="21"/>
              </w:rPr>
              <w:t>刊物名称、卷期及页码</w:t>
            </w:r>
          </w:p>
        </w:tc>
        <w:tc>
          <w:tcPr>
            <w:tcW w:w="2308" w:type="dxa"/>
            <w:vAlign w:val="center"/>
          </w:tcPr>
          <w:p>
            <w:pPr>
              <w:spacing w:line="276" w:lineRule="auto"/>
              <w:jc w:val="center"/>
              <w:rPr>
                <w:rFonts w:asciiTheme="minorEastAsia" w:hAnsiTheme="minorEastAsia"/>
                <w:b/>
                <w:szCs w:val="21"/>
              </w:rPr>
            </w:pPr>
            <w:r>
              <w:rPr>
                <w:rFonts w:hint="eastAsia" w:asciiTheme="minorEastAsia" w:hAnsiTheme="minorEastAsia"/>
                <w:b/>
                <w:szCs w:val="21"/>
              </w:rPr>
              <w:t>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28" w:hRule="atLeast"/>
        </w:trPr>
        <w:tc>
          <w:tcPr>
            <w:tcW w:w="671" w:type="dxa"/>
            <w:vAlign w:val="center"/>
          </w:tcPr>
          <w:p>
            <w:pPr>
              <w:spacing w:line="276" w:lineRule="auto"/>
              <w:jc w:val="center"/>
              <w:rPr>
                <w:rFonts w:asciiTheme="minorEastAsia" w:hAnsiTheme="minorEastAsia"/>
                <w:szCs w:val="21"/>
              </w:rPr>
            </w:pPr>
            <w:r>
              <w:rPr>
                <w:rFonts w:hint="eastAsia" w:asciiTheme="minorEastAsia" w:hAnsiTheme="minorEastAsia"/>
                <w:szCs w:val="21"/>
              </w:rPr>
              <w:t>1</w:t>
            </w:r>
          </w:p>
        </w:tc>
        <w:tc>
          <w:tcPr>
            <w:tcW w:w="393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带线锚钉修复陈旧性跟腱断裂的疗效</w:t>
            </w:r>
          </w:p>
        </w:tc>
        <w:tc>
          <w:tcPr>
            <w:tcW w:w="2616"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中华创伤杂志，2015；31（12）：1089-1093</w:t>
            </w:r>
          </w:p>
        </w:tc>
        <w:tc>
          <w:tcPr>
            <w:tcW w:w="2308"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祁洁，卫文博，段亮等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04" w:hRule="atLeast"/>
        </w:trPr>
        <w:tc>
          <w:tcPr>
            <w:tcW w:w="671" w:type="dxa"/>
            <w:vAlign w:val="center"/>
          </w:tcPr>
          <w:p>
            <w:pPr>
              <w:spacing w:line="276" w:lineRule="auto"/>
              <w:jc w:val="center"/>
              <w:rPr>
                <w:rFonts w:asciiTheme="minorEastAsia" w:hAnsiTheme="minorEastAsia"/>
                <w:szCs w:val="21"/>
              </w:rPr>
            </w:pPr>
            <w:r>
              <w:rPr>
                <w:rFonts w:hint="eastAsia" w:asciiTheme="minorEastAsia" w:hAnsiTheme="minorEastAsia"/>
                <w:szCs w:val="21"/>
              </w:rPr>
              <w:t>2</w:t>
            </w:r>
          </w:p>
        </w:tc>
        <w:tc>
          <w:tcPr>
            <w:tcW w:w="393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带线锚钉半Kessler缝合法修复自发性跟腱断裂</w:t>
            </w:r>
          </w:p>
        </w:tc>
        <w:tc>
          <w:tcPr>
            <w:tcW w:w="2616"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中国修复重建外科杂志，2016；30（2）：165-168</w:t>
            </w:r>
          </w:p>
        </w:tc>
        <w:tc>
          <w:tcPr>
            <w:tcW w:w="2308"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祁洁，段亮，李伟伟等。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27" w:hRule="atLeast"/>
        </w:trPr>
        <w:tc>
          <w:tcPr>
            <w:tcW w:w="671" w:type="dxa"/>
            <w:vAlign w:val="center"/>
          </w:tcPr>
          <w:p>
            <w:pPr>
              <w:spacing w:line="276" w:lineRule="auto"/>
              <w:jc w:val="center"/>
              <w:rPr>
                <w:rFonts w:asciiTheme="minorEastAsia" w:hAnsiTheme="minorEastAsia"/>
                <w:szCs w:val="21"/>
              </w:rPr>
            </w:pPr>
            <w:r>
              <w:rPr>
                <w:rFonts w:hint="eastAsia" w:asciiTheme="minorEastAsia" w:hAnsiTheme="minorEastAsia"/>
                <w:szCs w:val="21"/>
              </w:rPr>
              <w:t>3</w:t>
            </w:r>
          </w:p>
        </w:tc>
        <w:tc>
          <w:tcPr>
            <w:tcW w:w="393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内镜下跟骨成形术治疗Haglund畸形引起的后跟痛。</w:t>
            </w:r>
          </w:p>
        </w:tc>
        <w:tc>
          <w:tcPr>
            <w:tcW w:w="2616"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中国修复重建外科杂志，2016；30（6）：700-703</w:t>
            </w:r>
          </w:p>
        </w:tc>
        <w:tc>
          <w:tcPr>
            <w:tcW w:w="2308"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祁洁，弓立群，刘军等。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25" w:hRule="atLeast"/>
        </w:trPr>
        <w:tc>
          <w:tcPr>
            <w:tcW w:w="671" w:type="dxa"/>
            <w:vAlign w:val="center"/>
          </w:tcPr>
          <w:p>
            <w:pPr>
              <w:spacing w:line="276" w:lineRule="auto"/>
              <w:jc w:val="center"/>
              <w:rPr>
                <w:rFonts w:asciiTheme="minorEastAsia" w:hAnsiTheme="minorEastAsia"/>
                <w:szCs w:val="21"/>
              </w:rPr>
            </w:pPr>
            <w:r>
              <w:rPr>
                <w:rFonts w:hint="eastAsia" w:asciiTheme="minorEastAsia" w:hAnsiTheme="minorEastAsia"/>
                <w:szCs w:val="21"/>
              </w:rPr>
              <w:t>4</w:t>
            </w:r>
          </w:p>
        </w:tc>
        <w:tc>
          <w:tcPr>
            <w:tcW w:w="3931" w:type="dxa"/>
            <w:vAlign w:val="center"/>
          </w:tcPr>
          <w:p>
            <w:pPr>
              <w:adjustRightInd w:val="0"/>
              <w:snapToGrid w:val="0"/>
              <w:spacing w:line="276" w:lineRule="auto"/>
              <w:jc w:val="center"/>
              <w:rPr>
                <w:rFonts w:cs="Times New Roman" w:asciiTheme="minorEastAsia" w:hAnsiTheme="minorEastAsia"/>
                <w:bCs/>
                <w:szCs w:val="21"/>
              </w:rPr>
            </w:pPr>
            <w:r>
              <w:rPr>
                <w:rFonts w:cs="Times New Roman" w:asciiTheme="minorEastAsia" w:hAnsiTheme="minorEastAsia"/>
                <w:bCs/>
                <w:szCs w:val="21"/>
              </w:rPr>
              <w:t xml:space="preserve"> Alterations of Serum Osteocalcin Levels in Patients with Legg-Calvé-Perthes</w:t>
            </w:r>
          </w:p>
        </w:tc>
        <w:tc>
          <w:tcPr>
            <w:tcW w:w="2616" w:type="dxa"/>
            <w:vAlign w:val="center"/>
          </w:tcPr>
          <w:p>
            <w:pPr>
              <w:adjustRightInd w:val="0"/>
              <w:snapToGrid w:val="0"/>
              <w:spacing w:line="276" w:lineRule="auto"/>
              <w:jc w:val="center"/>
              <w:rPr>
                <w:rFonts w:cs="Times New Roman" w:asciiTheme="minorEastAsia" w:hAnsiTheme="minorEastAsia"/>
                <w:bCs/>
                <w:szCs w:val="21"/>
              </w:rPr>
            </w:pPr>
            <w:r>
              <w:rPr>
                <w:rFonts w:cs="Times New Roman" w:asciiTheme="minorEastAsia" w:hAnsiTheme="minorEastAsia"/>
                <w:bCs/>
                <w:szCs w:val="21"/>
              </w:rPr>
              <w:t>HIP International, 2017, 27(1):92-95.</w:t>
            </w:r>
          </w:p>
        </w:tc>
        <w:tc>
          <w:tcPr>
            <w:tcW w:w="2308"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 xml:space="preserve">卫文博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66" w:hRule="atLeast"/>
        </w:trPr>
        <w:tc>
          <w:tcPr>
            <w:tcW w:w="671" w:type="dxa"/>
            <w:vAlign w:val="center"/>
          </w:tcPr>
          <w:p>
            <w:pPr>
              <w:spacing w:line="276" w:lineRule="auto"/>
              <w:jc w:val="center"/>
              <w:rPr>
                <w:rFonts w:asciiTheme="minorEastAsia" w:hAnsiTheme="minorEastAsia"/>
                <w:szCs w:val="21"/>
              </w:rPr>
            </w:pPr>
            <w:r>
              <w:rPr>
                <w:rFonts w:hint="eastAsia" w:asciiTheme="minorEastAsia" w:hAnsiTheme="minorEastAsia"/>
                <w:szCs w:val="21"/>
              </w:rPr>
              <w:t>5</w:t>
            </w:r>
          </w:p>
        </w:tc>
        <w:tc>
          <w:tcPr>
            <w:tcW w:w="3931" w:type="dxa"/>
            <w:vAlign w:val="center"/>
          </w:tcPr>
          <w:p>
            <w:pPr>
              <w:adjustRightInd w:val="0"/>
              <w:snapToGrid w:val="0"/>
              <w:spacing w:line="276" w:lineRule="auto"/>
              <w:jc w:val="center"/>
              <w:rPr>
                <w:rFonts w:cs="Times New Roman" w:asciiTheme="minorEastAsia" w:hAnsiTheme="minorEastAsia"/>
                <w:bCs/>
                <w:szCs w:val="21"/>
              </w:rPr>
            </w:pPr>
            <w:r>
              <w:rPr>
                <w:rFonts w:cs="Times New Roman" w:asciiTheme="minorEastAsia" w:hAnsiTheme="minorEastAsia"/>
                <w:bCs/>
                <w:szCs w:val="21"/>
              </w:rPr>
              <w:t>Posterior intervertebral space debridement, annular bone grafting and instrumentation for treatment of lumbosacral tuberculosis</w:t>
            </w:r>
          </w:p>
        </w:tc>
        <w:tc>
          <w:tcPr>
            <w:tcW w:w="2616" w:type="dxa"/>
            <w:vAlign w:val="center"/>
          </w:tcPr>
          <w:p>
            <w:pPr>
              <w:adjustRightInd w:val="0"/>
              <w:snapToGrid w:val="0"/>
              <w:spacing w:line="276" w:lineRule="auto"/>
              <w:jc w:val="center"/>
              <w:rPr>
                <w:rFonts w:cs="Times New Roman" w:asciiTheme="minorEastAsia" w:hAnsiTheme="minorEastAsia"/>
                <w:bCs/>
                <w:szCs w:val="21"/>
              </w:rPr>
            </w:pPr>
            <w:r>
              <w:rPr>
                <w:rFonts w:cs="Times New Roman" w:asciiTheme="minorEastAsia" w:hAnsiTheme="minorEastAsia"/>
                <w:bCs/>
                <w:szCs w:val="21"/>
              </w:rPr>
              <w:t xml:space="preserve"> BMC Surgery, 2017, 17(1):124.</w:t>
            </w:r>
          </w:p>
        </w:tc>
        <w:tc>
          <w:tcPr>
            <w:tcW w:w="2308"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李伟伟</w:t>
            </w:r>
          </w:p>
        </w:tc>
      </w:tr>
    </w:tbl>
    <w:p>
      <w:pPr>
        <w:spacing w:line="360" w:lineRule="auto"/>
        <w:rPr>
          <w:rFonts w:asciiTheme="minorEastAsia" w:hAnsiTheme="minorEastAsia"/>
          <w:b/>
          <w:sz w:val="24"/>
          <w:szCs w:val="24"/>
        </w:rPr>
      </w:pPr>
      <w:r>
        <w:rPr>
          <w:rFonts w:hint="eastAsia" w:asciiTheme="minorEastAsia" w:hAnsiTheme="minorEastAsia"/>
          <w:b/>
          <w:sz w:val="24"/>
          <w:szCs w:val="24"/>
        </w:rPr>
        <w:t>5 完成人合作关系：</w:t>
      </w:r>
    </w:p>
    <w:p>
      <w:pPr>
        <w:autoSpaceDE w:val="0"/>
        <w:autoSpaceDN w:val="0"/>
        <w:adjustRightInd w:val="0"/>
        <w:snapToGrid w:val="0"/>
        <w:spacing w:line="276" w:lineRule="auto"/>
        <w:ind w:firstLine="482"/>
        <w:jc w:val="left"/>
        <w:rPr>
          <w:sz w:val="24"/>
          <w:szCs w:val="24"/>
        </w:rPr>
      </w:pPr>
      <w:r>
        <w:rPr>
          <w:rFonts w:hint="eastAsia" w:asciiTheme="minorEastAsia" w:hAnsiTheme="minorEastAsia"/>
          <w:bCs/>
          <w:sz w:val="24"/>
          <w:szCs w:val="24"/>
        </w:rPr>
        <w:t>陕西省人民医院独立完成。</w:t>
      </w:r>
    </w:p>
    <w:p>
      <w:pPr>
        <w:spacing w:line="360" w:lineRule="auto"/>
        <w:rPr>
          <w:rFonts w:asciiTheme="minorEastAsia" w:hAnsiTheme="minorEastAsia"/>
          <w:b/>
          <w:sz w:val="24"/>
          <w:szCs w:val="24"/>
        </w:rPr>
      </w:pPr>
      <w:r>
        <w:rPr>
          <w:rFonts w:hint="eastAsia" w:asciiTheme="minorEastAsia" w:hAnsiTheme="minorEastAsia"/>
          <w:b/>
          <w:sz w:val="24"/>
          <w:szCs w:val="24"/>
        </w:rPr>
        <w:t>6 提名者</w:t>
      </w:r>
    </w:p>
    <w:p>
      <w:pPr>
        <w:spacing w:line="360" w:lineRule="auto"/>
        <w:ind w:firstLine="480" w:firstLineChars="200"/>
        <w:rPr>
          <w:rFonts w:hint="eastAsia"/>
          <w:sz w:val="24"/>
          <w:szCs w:val="24"/>
        </w:rPr>
      </w:pPr>
      <w:r>
        <w:rPr>
          <w:rFonts w:hint="eastAsia"/>
          <w:sz w:val="24"/>
          <w:szCs w:val="24"/>
        </w:rPr>
        <w:t>陕西省卫生健康委员会</w:t>
      </w:r>
    </w:p>
    <w:p>
      <w:pPr>
        <w:spacing w:line="360" w:lineRule="auto"/>
        <w:ind w:firstLine="480" w:firstLineChars="200"/>
        <w:rPr>
          <w:rFonts w:hint="eastAsia"/>
          <w:sz w:val="24"/>
          <w:szCs w:val="24"/>
        </w:rPr>
      </w:pPr>
      <w:r>
        <w:rPr>
          <w:rFonts w:hint="eastAsia"/>
          <w:sz w:val="24"/>
          <w:szCs w:val="24"/>
          <w:lang w:val="en-US" w:eastAsia="zh-CN"/>
        </w:rPr>
        <w:t>提名意见：</w:t>
      </w:r>
      <w:r>
        <w:rPr>
          <w:rFonts w:hint="eastAsia"/>
          <w:sz w:val="24"/>
          <w:szCs w:val="24"/>
        </w:rPr>
        <w:t>拟提名陕西省科学技术进步奖</w:t>
      </w:r>
      <w:r>
        <w:rPr>
          <w:rFonts w:hint="eastAsia"/>
          <w:sz w:val="24"/>
          <w:szCs w:val="24"/>
          <w:lang w:eastAsia="zh-CN"/>
        </w:rPr>
        <w:t>。</w:t>
      </w:r>
    </w:p>
    <w:p>
      <w:pPr>
        <w:spacing w:line="360" w:lineRule="auto"/>
        <w:ind w:firstLine="480" w:firstLineChars="200"/>
        <w:jc w:val="right"/>
        <w:rPr>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096251"/>
    <w:rsid w:val="1AC84A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jc w:val="left"/>
    </w:pPr>
    <w:rPr>
      <w:rFonts w:cs="Times New Roman"/>
      <w:kern w:val="0"/>
      <w:sz w:val="24"/>
    </w:rPr>
  </w:style>
  <w:style w:type="table" w:styleId="4">
    <w:name w:val="Table Grid"/>
    <w:basedOn w:val="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37046</dc:creator>
  <cp:lastModifiedBy>37046</cp:lastModifiedBy>
  <dcterms:modified xsi:type="dcterms:W3CDTF">2019-06-27T16:21:10Z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