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Theme="minorEastAsia" w:hAnsiTheme="minorEastAsia"/>
          <w:b/>
          <w:sz w:val="28"/>
          <w:szCs w:val="28"/>
        </w:rPr>
      </w:pPr>
      <w:r>
        <w:rPr>
          <w:rFonts w:hint="eastAsia" w:asciiTheme="minorEastAsia" w:hAnsiTheme="minorEastAsia"/>
          <w:b/>
          <w:sz w:val="28"/>
          <w:szCs w:val="28"/>
        </w:rPr>
        <w:t>项目</w:t>
      </w:r>
      <w:r>
        <w:rPr>
          <w:rFonts w:hint="eastAsia" w:asciiTheme="minorEastAsia" w:hAnsiTheme="minorEastAsia"/>
          <w:b/>
          <w:sz w:val="28"/>
          <w:szCs w:val="28"/>
          <w:lang w:val="en-US" w:eastAsia="zh-CN"/>
        </w:rPr>
        <w:t>名称</w:t>
      </w:r>
      <w:bookmarkStart w:id="0" w:name="_GoBack"/>
      <w:bookmarkEnd w:id="0"/>
      <w:r>
        <w:rPr>
          <w:rFonts w:hint="eastAsia" w:asciiTheme="minorEastAsia" w:hAnsiTheme="minorEastAsia"/>
          <w:b/>
          <w:sz w:val="28"/>
          <w:szCs w:val="28"/>
        </w:rPr>
        <w:t>：</w:t>
      </w:r>
      <w:r>
        <w:rPr>
          <w:rFonts w:asciiTheme="minorEastAsia" w:hAnsiTheme="minorEastAsia"/>
          <w:b/>
          <w:sz w:val="28"/>
          <w:szCs w:val="28"/>
        </w:rPr>
        <w:t>川崎病的基础及临床研究</w:t>
      </w:r>
    </w:p>
    <w:p>
      <w:pPr>
        <w:spacing w:line="360" w:lineRule="auto"/>
        <w:rPr>
          <w:rFonts w:asciiTheme="minorEastAsia" w:hAnsiTheme="minorEastAsia"/>
          <w:b/>
          <w:sz w:val="24"/>
          <w:szCs w:val="24"/>
        </w:rPr>
      </w:pPr>
      <w:r>
        <w:rPr>
          <w:rFonts w:hint="eastAsia" w:asciiTheme="minorEastAsia" w:hAnsiTheme="minorEastAsia"/>
          <w:b/>
          <w:sz w:val="24"/>
          <w:szCs w:val="24"/>
        </w:rPr>
        <w:t>1 主要完成单位及创新推广贡献：</w:t>
      </w:r>
    </w:p>
    <w:p>
      <w:pPr>
        <w:adjustRightInd w:val="0"/>
        <w:snapToGrid w:val="0"/>
        <w:spacing w:line="276" w:lineRule="auto"/>
        <w:rPr>
          <w:rFonts w:asciiTheme="minorEastAsia" w:hAnsiTheme="minorEastAsia"/>
          <w:b/>
          <w:sz w:val="24"/>
          <w:szCs w:val="24"/>
        </w:rPr>
      </w:pPr>
      <w:r>
        <w:rPr>
          <w:rFonts w:hint="eastAsia" w:asciiTheme="minorEastAsia" w:hAnsiTheme="minorEastAsia"/>
          <w:b/>
          <w:sz w:val="24"/>
          <w:szCs w:val="24"/>
        </w:rPr>
        <w:t>1.1主要完成单位：</w:t>
      </w:r>
    </w:p>
    <w:p>
      <w:pPr>
        <w:adjustRightInd w:val="0"/>
        <w:snapToGrid w:val="0"/>
        <w:spacing w:line="276" w:lineRule="auto"/>
        <w:ind w:firstLine="480" w:firstLineChars="200"/>
        <w:rPr>
          <w:rFonts w:asciiTheme="minorEastAsia" w:hAnsiTheme="minorEastAsia"/>
          <w:sz w:val="24"/>
          <w:szCs w:val="24"/>
        </w:rPr>
      </w:pPr>
      <w:r>
        <w:rPr>
          <w:rFonts w:hint="eastAsia" w:asciiTheme="minorEastAsia" w:hAnsiTheme="minorEastAsia"/>
          <w:sz w:val="24"/>
          <w:szCs w:val="24"/>
        </w:rPr>
        <w:t>陕西省人民医院</w:t>
      </w:r>
    </w:p>
    <w:p>
      <w:pPr>
        <w:adjustRightInd w:val="0"/>
        <w:snapToGrid w:val="0"/>
        <w:spacing w:line="276" w:lineRule="auto"/>
        <w:rPr>
          <w:rFonts w:asciiTheme="minorEastAsia" w:hAnsiTheme="minorEastAsia"/>
          <w:b/>
          <w:sz w:val="24"/>
          <w:szCs w:val="24"/>
        </w:rPr>
      </w:pPr>
      <w:r>
        <w:rPr>
          <w:rFonts w:hint="eastAsia" w:asciiTheme="minorEastAsia" w:hAnsiTheme="minorEastAsia"/>
          <w:b/>
          <w:sz w:val="24"/>
          <w:szCs w:val="24"/>
        </w:rPr>
        <w:t>1.2创新推广贡献：</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川崎病的诊治一直是国际上临床研究的焦点问题之一，积极探索最佳的川崎病早期评估、治疗方案，广泛推广长期管理方案，进而有效减轻和控制川崎病急性期的冠状动脉壁炎性反应，有效预防冠状动脉瘤个体的心肌缺血和心肌梗死，对儿童以至成人的健康水平提高具有深远而积极的影响。迄今为止，川崎病的诊断仍然采用几组症状与体征的综合征诊断形式，缺乏特异性的客观诊断指标。</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项目组采用多学科合作的方式，从实验室指标的预测、心脏超声评估冠脉、采用双源CT评估严重冠脉损害（如：冠脉瘤等）等评估手段以优化川崎病的诊断，采用大数据病例分析，同时从川崎病基础药物（阿司匹林、双嘧达莫等）、丙种球蛋白、激素应用等方面进行了临床分析，多角度分析、阐述川崎病的治疗，以及关键对冠脉损害的预防及解决方法，并且采用中药的方式治疗，临床价格低廉，副作用小，临床取得了很好的效果。</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此外，项目组率先在《中华流行病学杂志》上发表《陕西省川崎病流行病学调查研究》一文，调查显示：川崎病是我省儿童较常见的疾病，西安地区是高发病区，3岁以下发病率高，心脏后遗症多。提示川崎病的研究目前已经成为儿科心血管领域的重要课题。应提高广大基层医师对该病的认识，做到早诊早治，降低发病率及死亡率。建立了我国唯一的中国川崎病网</w:t>
      </w:r>
      <w:r>
        <w:fldChar w:fldCharType="begin"/>
      </w:r>
      <w:r>
        <w:instrText xml:space="preserve"> HYPERLINK "http://www.chinakd.org" </w:instrText>
      </w:r>
      <w:r>
        <w:fldChar w:fldCharType="separate"/>
      </w:r>
      <w:r>
        <w:rPr>
          <w:rFonts w:hint="eastAsia" w:ascii="宋体" w:hAnsi="宋体" w:eastAsia="宋体"/>
          <w:bCs/>
          <w:color w:val="000000"/>
        </w:rPr>
        <w:t>www.chinakd.org</w:t>
      </w:r>
      <w:r>
        <w:rPr>
          <w:rFonts w:hint="eastAsia" w:ascii="宋体" w:hAnsi="宋体" w:eastAsia="宋体"/>
          <w:bCs/>
          <w:color w:val="000000"/>
        </w:rPr>
        <w:fldChar w:fldCharType="end"/>
      </w:r>
      <w:r>
        <w:rPr>
          <w:rFonts w:hint="eastAsia" w:ascii="宋体" w:hAnsi="宋体" w:eastAsia="宋体" w:cs="宋体"/>
          <w:bCs/>
          <w:color w:val="000000"/>
        </w:rPr>
        <w:t>；</w:t>
      </w:r>
      <w:r>
        <w:rPr>
          <w:rFonts w:hint="eastAsia" w:ascii="宋体" w:hAnsi="宋体" w:eastAsia="宋体" w:cs="宋体"/>
          <w:bCs/>
          <w:color w:val="000000"/>
          <w:szCs w:val="24"/>
        </w:rPr>
        <w:t xml:space="preserve">在西安举办第二届西部川崎病国际大会，日本川崎病研究所派出四名顶尖级专家参加会议，另外，亚洲其他等十多位外国专家参加会议。通过临床实验发现了和肽素在川崎病冠脉病变急性期患儿中的血浆水明显增高，能够在一定程度上评估冠脉病变的严重程度；其与IL-17A，TNF-α的联合检测有望提高预测和评估冠脉病变的准确度。 </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发明专利“一种预防及治疗川崎病冠脉损伤的中药制剂”；2015年由陕西省卫建委批准在我院建立了全省唯一的川崎病诊疗中心，2016年在我院建立陕西省儿内科疾病诊疗中心，并于2018年成立了全省9个分中心；研究组近年来发表川崎病相关论文18余篇，其中SCI收录10篇，出版川崎病及川崎病科普书籍2部，举办次国际会议，川崎病专题讲座20余次，培养研究生2名。</w:t>
      </w:r>
    </w:p>
    <w:p>
      <w:pPr>
        <w:spacing w:line="360" w:lineRule="auto"/>
        <w:rPr>
          <w:rFonts w:asciiTheme="minorEastAsia" w:hAnsiTheme="minorEastAsia"/>
          <w:b/>
          <w:sz w:val="24"/>
          <w:szCs w:val="24"/>
        </w:rPr>
      </w:pPr>
      <w:r>
        <w:rPr>
          <w:rFonts w:hint="eastAsia" w:asciiTheme="minorEastAsia" w:hAnsiTheme="minorEastAsia"/>
          <w:b/>
          <w:sz w:val="24"/>
          <w:szCs w:val="24"/>
        </w:rPr>
        <w:t>2 主要完成人情况：</w:t>
      </w:r>
    </w:p>
    <w:tbl>
      <w:tblPr>
        <w:tblStyle w:val="3"/>
        <w:tblW w:w="9073" w:type="dxa"/>
        <w:jc w:val="center"/>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892"/>
        <w:gridCol w:w="1134"/>
        <w:gridCol w:w="1134"/>
        <w:gridCol w:w="1134"/>
        <w:gridCol w:w="1134"/>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810" w:type="dxa"/>
            <w:vAlign w:val="center"/>
          </w:tcPr>
          <w:p>
            <w:pPr>
              <w:adjustRightInd w:val="0"/>
              <w:snapToGrid w:val="0"/>
              <w:spacing w:line="276" w:lineRule="auto"/>
              <w:ind w:left="354" w:hanging="354" w:hangingChars="168"/>
              <w:jc w:val="center"/>
              <w:rPr>
                <w:rFonts w:asciiTheme="minorEastAsia" w:hAnsiTheme="minorEastAsia"/>
                <w:b/>
                <w:bCs/>
                <w:szCs w:val="21"/>
              </w:rPr>
            </w:pPr>
            <w:r>
              <w:rPr>
                <w:rFonts w:hint="eastAsia" w:asciiTheme="minorEastAsia" w:hAnsiTheme="minorEastAsia"/>
                <w:b/>
                <w:bCs/>
                <w:szCs w:val="21"/>
              </w:rPr>
              <w:t>序号</w:t>
            </w:r>
          </w:p>
        </w:tc>
        <w:tc>
          <w:tcPr>
            <w:tcW w:w="892" w:type="dxa"/>
            <w:vAlign w:val="center"/>
          </w:tcPr>
          <w:p>
            <w:pPr>
              <w:adjustRightInd w:val="0"/>
              <w:snapToGrid w:val="0"/>
              <w:spacing w:line="276" w:lineRule="auto"/>
              <w:jc w:val="center"/>
              <w:rPr>
                <w:rFonts w:asciiTheme="minorEastAsia" w:hAnsiTheme="minorEastAsia"/>
                <w:b/>
                <w:bCs/>
                <w:szCs w:val="21"/>
              </w:rPr>
            </w:pPr>
            <w:r>
              <w:rPr>
                <w:rFonts w:hint="eastAsia" w:asciiTheme="minorEastAsia" w:hAnsiTheme="minorEastAsia"/>
                <w:b/>
                <w:bCs/>
                <w:szCs w:val="21"/>
              </w:rPr>
              <w:t>姓名</w:t>
            </w:r>
          </w:p>
        </w:tc>
        <w:tc>
          <w:tcPr>
            <w:tcW w:w="1134" w:type="dxa"/>
            <w:vAlign w:val="center"/>
          </w:tcPr>
          <w:p>
            <w:pPr>
              <w:adjustRightInd w:val="0"/>
              <w:snapToGrid w:val="0"/>
              <w:spacing w:line="276" w:lineRule="auto"/>
              <w:jc w:val="center"/>
              <w:rPr>
                <w:rFonts w:asciiTheme="minorEastAsia" w:hAnsiTheme="minorEastAsia"/>
                <w:b/>
                <w:bCs/>
                <w:szCs w:val="21"/>
              </w:rPr>
            </w:pPr>
            <w:r>
              <w:rPr>
                <w:rFonts w:hint="eastAsia" w:asciiTheme="minorEastAsia" w:hAnsiTheme="minorEastAsia"/>
                <w:b/>
                <w:bCs/>
                <w:szCs w:val="21"/>
              </w:rPr>
              <w:t>技术职称</w:t>
            </w:r>
          </w:p>
        </w:tc>
        <w:tc>
          <w:tcPr>
            <w:tcW w:w="1134" w:type="dxa"/>
            <w:vAlign w:val="center"/>
          </w:tcPr>
          <w:p>
            <w:pPr>
              <w:adjustRightInd w:val="0"/>
              <w:snapToGrid w:val="0"/>
              <w:spacing w:line="276" w:lineRule="auto"/>
              <w:jc w:val="center"/>
              <w:rPr>
                <w:rFonts w:asciiTheme="minorEastAsia" w:hAnsiTheme="minorEastAsia"/>
                <w:b/>
                <w:bCs/>
                <w:szCs w:val="21"/>
              </w:rPr>
            </w:pPr>
            <w:r>
              <w:rPr>
                <w:rFonts w:hint="eastAsia" w:asciiTheme="minorEastAsia" w:hAnsiTheme="minorEastAsia"/>
                <w:b/>
                <w:bCs/>
                <w:szCs w:val="21"/>
              </w:rPr>
              <w:t>行政职务</w:t>
            </w:r>
          </w:p>
        </w:tc>
        <w:tc>
          <w:tcPr>
            <w:tcW w:w="1134" w:type="dxa"/>
            <w:vAlign w:val="center"/>
          </w:tcPr>
          <w:p>
            <w:pPr>
              <w:adjustRightInd w:val="0"/>
              <w:snapToGrid w:val="0"/>
              <w:spacing w:line="276" w:lineRule="auto"/>
              <w:jc w:val="center"/>
              <w:rPr>
                <w:rFonts w:asciiTheme="minorEastAsia" w:hAnsiTheme="minorEastAsia"/>
                <w:b/>
                <w:bCs/>
                <w:szCs w:val="21"/>
              </w:rPr>
            </w:pPr>
            <w:r>
              <w:rPr>
                <w:rFonts w:hint="eastAsia" w:asciiTheme="minorEastAsia" w:hAnsiTheme="minorEastAsia"/>
                <w:b/>
                <w:bCs/>
                <w:szCs w:val="21"/>
              </w:rPr>
              <w:t>工作单位</w:t>
            </w:r>
          </w:p>
        </w:tc>
        <w:tc>
          <w:tcPr>
            <w:tcW w:w="1134" w:type="dxa"/>
            <w:vAlign w:val="center"/>
          </w:tcPr>
          <w:p>
            <w:pPr>
              <w:adjustRightInd w:val="0"/>
              <w:snapToGrid w:val="0"/>
              <w:spacing w:line="276" w:lineRule="auto"/>
              <w:jc w:val="center"/>
              <w:rPr>
                <w:rFonts w:asciiTheme="minorEastAsia" w:hAnsiTheme="minorEastAsia"/>
                <w:b/>
                <w:bCs/>
                <w:szCs w:val="21"/>
              </w:rPr>
            </w:pPr>
            <w:r>
              <w:rPr>
                <w:rFonts w:hint="eastAsia" w:asciiTheme="minorEastAsia" w:hAnsiTheme="minorEastAsia"/>
                <w:b/>
                <w:bCs/>
                <w:szCs w:val="21"/>
              </w:rPr>
              <w:t>完成单位</w:t>
            </w:r>
          </w:p>
        </w:tc>
        <w:tc>
          <w:tcPr>
            <w:tcW w:w="2835" w:type="dxa"/>
            <w:vAlign w:val="center"/>
          </w:tcPr>
          <w:p>
            <w:pPr>
              <w:adjustRightInd w:val="0"/>
              <w:snapToGrid w:val="0"/>
              <w:spacing w:line="276" w:lineRule="auto"/>
              <w:jc w:val="center"/>
              <w:rPr>
                <w:rFonts w:asciiTheme="minorEastAsia" w:hAnsiTheme="minorEastAsia"/>
                <w:b/>
                <w:bCs/>
                <w:szCs w:val="21"/>
              </w:rPr>
            </w:pPr>
            <w:r>
              <w:rPr>
                <w:rFonts w:hint="eastAsia" w:asciiTheme="minorEastAsia" w:hAnsiTheme="minorEastAsia"/>
                <w:b/>
                <w:bCs/>
                <w:szCs w:val="21"/>
              </w:rPr>
              <w:t>对本项目贡献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exact"/>
          <w:jc w:val="center"/>
        </w:trPr>
        <w:tc>
          <w:tcPr>
            <w:tcW w:w="810"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1</w:t>
            </w:r>
          </w:p>
        </w:tc>
        <w:tc>
          <w:tcPr>
            <w:tcW w:w="892" w:type="dxa"/>
            <w:vAlign w:val="center"/>
          </w:tcPr>
          <w:p>
            <w:pPr>
              <w:adjustRightInd w:val="0"/>
              <w:snapToGrid w:val="0"/>
              <w:spacing w:line="276" w:lineRule="auto"/>
              <w:jc w:val="center"/>
              <w:rPr>
                <w:rFonts w:asciiTheme="minorEastAsia" w:hAnsiTheme="minorEastAsia"/>
                <w:bCs/>
                <w:szCs w:val="21"/>
              </w:rPr>
            </w:pPr>
            <w:r>
              <w:rPr>
                <w:rFonts w:hint="eastAsia" w:cs="宋体" w:asciiTheme="minorEastAsia" w:hAnsiTheme="minorEastAsia"/>
                <w:bCs/>
                <w:szCs w:val="21"/>
              </w:rPr>
              <w:t>焦富勇</w:t>
            </w:r>
          </w:p>
        </w:tc>
        <w:tc>
          <w:tcPr>
            <w:tcW w:w="1134"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szCs w:val="21"/>
              </w:rPr>
              <w:t>主任医师</w:t>
            </w:r>
          </w:p>
        </w:tc>
        <w:tc>
          <w:tcPr>
            <w:tcW w:w="1134"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szCs w:val="21"/>
              </w:rPr>
              <w:t>儿童病院</w:t>
            </w:r>
          </w:p>
          <w:p>
            <w:pPr>
              <w:adjustRightInd w:val="0"/>
              <w:snapToGrid w:val="0"/>
              <w:spacing w:line="276" w:lineRule="auto"/>
              <w:jc w:val="center"/>
              <w:rPr>
                <w:rFonts w:asciiTheme="minorEastAsia" w:hAnsiTheme="minorEastAsia"/>
                <w:bCs/>
                <w:szCs w:val="21"/>
              </w:rPr>
            </w:pPr>
            <w:r>
              <w:rPr>
                <w:rFonts w:asciiTheme="minorEastAsia" w:hAnsiTheme="minorEastAsia"/>
                <w:bCs/>
                <w:szCs w:val="21"/>
              </w:rPr>
              <w:t>副院长</w:t>
            </w:r>
          </w:p>
        </w:tc>
        <w:tc>
          <w:tcPr>
            <w:tcW w:w="1134"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szCs w:val="21"/>
              </w:rPr>
              <w:t>陕西省人民医院</w:t>
            </w:r>
          </w:p>
        </w:tc>
        <w:tc>
          <w:tcPr>
            <w:tcW w:w="1134"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szCs w:val="21"/>
              </w:rPr>
              <w:t>陕西省人民医院</w:t>
            </w:r>
          </w:p>
        </w:tc>
        <w:tc>
          <w:tcPr>
            <w:tcW w:w="2835" w:type="dxa"/>
            <w:vAlign w:val="center"/>
          </w:tcPr>
          <w:p>
            <w:pPr>
              <w:adjustRightInd w:val="0"/>
              <w:snapToGrid w:val="0"/>
              <w:spacing w:line="276" w:lineRule="auto"/>
              <w:jc w:val="center"/>
              <w:rPr>
                <w:rFonts w:asciiTheme="minorEastAsia" w:hAnsiTheme="minorEastAsia"/>
                <w:bCs/>
                <w:szCs w:val="21"/>
              </w:rPr>
            </w:pPr>
            <w:r>
              <w:rPr>
                <w:rFonts w:hint="eastAsia" w:cs="宋体" w:asciiTheme="minorEastAsia" w:hAnsiTheme="minorEastAsia"/>
                <w:bCs/>
                <w:szCs w:val="21"/>
              </w:rPr>
              <w:t>项目主持人、</w:t>
            </w:r>
            <w:r>
              <w:rPr>
                <w:rFonts w:hint="eastAsia" w:cs="宋体" w:asciiTheme="minorEastAsia" w:hAnsiTheme="minorEastAsia"/>
                <w:kern w:val="0"/>
                <w:szCs w:val="21"/>
              </w:rPr>
              <w:t>设计研究成果，发表论著及国际学术交流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4" w:hRule="exact"/>
          <w:jc w:val="center"/>
        </w:trPr>
        <w:tc>
          <w:tcPr>
            <w:tcW w:w="810"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2</w:t>
            </w:r>
          </w:p>
        </w:tc>
        <w:tc>
          <w:tcPr>
            <w:tcW w:w="892" w:type="dxa"/>
            <w:vAlign w:val="center"/>
          </w:tcPr>
          <w:p>
            <w:pPr>
              <w:adjustRightInd w:val="0"/>
              <w:snapToGrid w:val="0"/>
              <w:spacing w:line="276" w:lineRule="auto"/>
              <w:jc w:val="center"/>
              <w:rPr>
                <w:rFonts w:asciiTheme="minorEastAsia" w:hAnsiTheme="minorEastAsia"/>
                <w:bCs/>
                <w:szCs w:val="21"/>
              </w:rPr>
            </w:pPr>
            <w:r>
              <w:rPr>
                <w:rFonts w:hint="eastAsia" w:cs="宋体" w:asciiTheme="minorEastAsia" w:hAnsiTheme="minorEastAsia"/>
                <w:bCs/>
                <w:szCs w:val="21"/>
              </w:rPr>
              <w:t>严晓华</w:t>
            </w:r>
          </w:p>
        </w:tc>
        <w:tc>
          <w:tcPr>
            <w:tcW w:w="1134"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szCs w:val="21"/>
              </w:rPr>
              <w:t>副主任医师</w:t>
            </w:r>
          </w:p>
        </w:tc>
        <w:tc>
          <w:tcPr>
            <w:tcW w:w="1134"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szCs w:val="21"/>
              </w:rPr>
              <w:t>无</w:t>
            </w:r>
          </w:p>
        </w:tc>
        <w:tc>
          <w:tcPr>
            <w:tcW w:w="1134"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szCs w:val="21"/>
              </w:rPr>
              <w:t>陕西省人民医院</w:t>
            </w:r>
          </w:p>
        </w:tc>
        <w:tc>
          <w:tcPr>
            <w:tcW w:w="1134"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szCs w:val="21"/>
              </w:rPr>
              <w:t>陕西省人民医院</w:t>
            </w:r>
          </w:p>
        </w:tc>
        <w:tc>
          <w:tcPr>
            <w:tcW w:w="2835" w:type="dxa"/>
            <w:vAlign w:val="center"/>
          </w:tcPr>
          <w:p>
            <w:pPr>
              <w:adjustRightInd w:val="0"/>
              <w:snapToGrid w:val="0"/>
              <w:spacing w:line="276" w:lineRule="auto"/>
              <w:jc w:val="center"/>
              <w:rPr>
                <w:rFonts w:asciiTheme="minorEastAsia" w:hAnsiTheme="minorEastAsia"/>
                <w:bCs/>
                <w:szCs w:val="21"/>
              </w:rPr>
            </w:pPr>
            <w:r>
              <w:rPr>
                <w:rFonts w:hint="eastAsia" w:cs="宋体" w:asciiTheme="minorEastAsia" w:hAnsiTheme="minorEastAsia"/>
                <w:szCs w:val="21"/>
              </w:rPr>
              <w:t>设计、质控、统计分析，论文合著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exact"/>
          <w:jc w:val="center"/>
        </w:trPr>
        <w:tc>
          <w:tcPr>
            <w:tcW w:w="810"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3</w:t>
            </w:r>
          </w:p>
        </w:tc>
        <w:tc>
          <w:tcPr>
            <w:tcW w:w="892" w:type="dxa"/>
            <w:vAlign w:val="center"/>
          </w:tcPr>
          <w:p>
            <w:pPr>
              <w:adjustRightInd w:val="0"/>
              <w:snapToGrid w:val="0"/>
              <w:spacing w:line="276" w:lineRule="auto"/>
              <w:jc w:val="center"/>
              <w:rPr>
                <w:rFonts w:asciiTheme="minorEastAsia" w:hAnsiTheme="minorEastAsia"/>
                <w:bCs/>
                <w:szCs w:val="21"/>
              </w:rPr>
            </w:pPr>
            <w:r>
              <w:rPr>
                <w:rFonts w:hint="eastAsia" w:cs="宋体" w:asciiTheme="minorEastAsia" w:hAnsiTheme="minorEastAsia"/>
                <w:bCs/>
                <w:szCs w:val="21"/>
              </w:rPr>
              <w:t>高娜</w:t>
            </w:r>
          </w:p>
        </w:tc>
        <w:tc>
          <w:tcPr>
            <w:tcW w:w="1134"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szCs w:val="21"/>
              </w:rPr>
              <w:t>主治医师</w:t>
            </w:r>
          </w:p>
        </w:tc>
        <w:tc>
          <w:tcPr>
            <w:tcW w:w="1134"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szCs w:val="21"/>
              </w:rPr>
              <w:t>无</w:t>
            </w:r>
          </w:p>
        </w:tc>
        <w:tc>
          <w:tcPr>
            <w:tcW w:w="1134"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szCs w:val="21"/>
              </w:rPr>
              <w:t>陕西省人民医院</w:t>
            </w:r>
          </w:p>
        </w:tc>
        <w:tc>
          <w:tcPr>
            <w:tcW w:w="1134"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szCs w:val="21"/>
              </w:rPr>
              <w:t>陕西省人民医院</w:t>
            </w:r>
          </w:p>
        </w:tc>
        <w:tc>
          <w:tcPr>
            <w:tcW w:w="2835" w:type="dxa"/>
            <w:vAlign w:val="center"/>
          </w:tcPr>
          <w:p>
            <w:pPr>
              <w:adjustRightInd w:val="0"/>
              <w:snapToGrid w:val="0"/>
              <w:spacing w:line="276" w:lineRule="auto"/>
              <w:jc w:val="center"/>
              <w:rPr>
                <w:rFonts w:asciiTheme="minorEastAsia" w:hAnsiTheme="minorEastAsia"/>
                <w:bCs/>
                <w:szCs w:val="21"/>
              </w:rPr>
            </w:pPr>
            <w:r>
              <w:rPr>
                <w:rFonts w:hint="eastAsia" w:cs="宋体" w:asciiTheme="minorEastAsia" w:hAnsiTheme="minorEastAsia"/>
                <w:szCs w:val="21"/>
              </w:rPr>
              <w:t>病例收集、统计分析，论文合著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7" w:hRule="exact"/>
          <w:jc w:val="center"/>
        </w:trPr>
        <w:tc>
          <w:tcPr>
            <w:tcW w:w="810"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4</w:t>
            </w:r>
          </w:p>
        </w:tc>
        <w:tc>
          <w:tcPr>
            <w:tcW w:w="892" w:type="dxa"/>
            <w:vAlign w:val="center"/>
          </w:tcPr>
          <w:p>
            <w:pPr>
              <w:adjustRightInd w:val="0"/>
              <w:snapToGrid w:val="0"/>
              <w:spacing w:line="276" w:lineRule="auto"/>
              <w:jc w:val="center"/>
              <w:rPr>
                <w:rFonts w:asciiTheme="minorEastAsia" w:hAnsiTheme="minorEastAsia"/>
                <w:bCs/>
                <w:szCs w:val="21"/>
              </w:rPr>
            </w:pPr>
            <w:r>
              <w:rPr>
                <w:rFonts w:hint="eastAsia" w:cs="宋体" w:asciiTheme="minorEastAsia" w:hAnsiTheme="minorEastAsia"/>
                <w:bCs/>
                <w:szCs w:val="21"/>
              </w:rPr>
              <w:t>牛倩</w:t>
            </w:r>
          </w:p>
        </w:tc>
        <w:tc>
          <w:tcPr>
            <w:tcW w:w="1134"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szCs w:val="21"/>
              </w:rPr>
              <w:t>主任护师</w:t>
            </w:r>
          </w:p>
        </w:tc>
        <w:tc>
          <w:tcPr>
            <w:tcW w:w="1134"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szCs w:val="21"/>
              </w:rPr>
              <w:t>儿童病院</w:t>
            </w:r>
          </w:p>
          <w:p>
            <w:pPr>
              <w:adjustRightInd w:val="0"/>
              <w:snapToGrid w:val="0"/>
              <w:spacing w:line="276" w:lineRule="auto"/>
              <w:jc w:val="center"/>
              <w:rPr>
                <w:rFonts w:asciiTheme="minorEastAsia" w:hAnsiTheme="minorEastAsia"/>
                <w:bCs/>
                <w:szCs w:val="21"/>
              </w:rPr>
            </w:pPr>
            <w:r>
              <w:rPr>
                <w:rFonts w:asciiTheme="minorEastAsia" w:hAnsiTheme="minorEastAsia"/>
                <w:bCs/>
                <w:szCs w:val="21"/>
              </w:rPr>
              <w:t>护士长</w:t>
            </w:r>
          </w:p>
        </w:tc>
        <w:tc>
          <w:tcPr>
            <w:tcW w:w="1134"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szCs w:val="21"/>
              </w:rPr>
              <w:t>陕西省人民医院</w:t>
            </w:r>
          </w:p>
        </w:tc>
        <w:tc>
          <w:tcPr>
            <w:tcW w:w="1134"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szCs w:val="21"/>
              </w:rPr>
              <w:t>陕西省人民医院</w:t>
            </w:r>
          </w:p>
        </w:tc>
        <w:tc>
          <w:tcPr>
            <w:tcW w:w="2835" w:type="dxa"/>
            <w:vAlign w:val="center"/>
          </w:tcPr>
          <w:p>
            <w:pPr>
              <w:adjustRightInd w:val="0"/>
              <w:snapToGrid w:val="0"/>
              <w:spacing w:line="276" w:lineRule="auto"/>
              <w:jc w:val="center"/>
              <w:rPr>
                <w:rFonts w:asciiTheme="minorEastAsia" w:hAnsiTheme="minorEastAsia"/>
                <w:bCs/>
                <w:szCs w:val="21"/>
              </w:rPr>
            </w:pPr>
            <w:r>
              <w:rPr>
                <w:rFonts w:hint="eastAsia" w:cs="宋体" w:asciiTheme="minorEastAsia" w:hAnsiTheme="minorEastAsia"/>
                <w:szCs w:val="21"/>
              </w:rPr>
              <w:t>病例收集、论文合著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exact"/>
          <w:jc w:val="center"/>
        </w:trPr>
        <w:tc>
          <w:tcPr>
            <w:tcW w:w="810"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5</w:t>
            </w:r>
          </w:p>
        </w:tc>
        <w:tc>
          <w:tcPr>
            <w:tcW w:w="892" w:type="dxa"/>
            <w:vAlign w:val="center"/>
          </w:tcPr>
          <w:p>
            <w:pPr>
              <w:adjustRightInd w:val="0"/>
              <w:snapToGrid w:val="0"/>
              <w:spacing w:line="276" w:lineRule="auto"/>
              <w:jc w:val="center"/>
              <w:rPr>
                <w:rFonts w:asciiTheme="minorEastAsia" w:hAnsiTheme="minorEastAsia"/>
                <w:bCs/>
                <w:szCs w:val="21"/>
              </w:rPr>
            </w:pPr>
            <w:r>
              <w:rPr>
                <w:rFonts w:hint="eastAsia" w:cs="宋体" w:asciiTheme="minorEastAsia" w:hAnsiTheme="minorEastAsia"/>
                <w:bCs/>
                <w:szCs w:val="21"/>
              </w:rPr>
              <w:t>焦文燕</w:t>
            </w:r>
          </w:p>
        </w:tc>
        <w:tc>
          <w:tcPr>
            <w:tcW w:w="1134"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szCs w:val="21"/>
              </w:rPr>
              <w:t>主治医师</w:t>
            </w:r>
          </w:p>
        </w:tc>
        <w:tc>
          <w:tcPr>
            <w:tcW w:w="1134"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szCs w:val="21"/>
              </w:rPr>
              <w:t>无</w:t>
            </w:r>
          </w:p>
        </w:tc>
        <w:tc>
          <w:tcPr>
            <w:tcW w:w="1134"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szCs w:val="21"/>
              </w:rPr>
              <w:t>陕西省人民医院</w:t>
            </w:r>
          </w:p>
        </w:tc>
        <w:tc>
          <w:tcPr>
            <w:tcW w:w="1134"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szCs w:val="21"/>
              </w:rPr>
              <w:t>陕西省人民医院</w:t>
            </w:r>
          </w:p>
        </w:tc>
        <w:tc>
          <w:tcPr>
            <w:tcW w:w="2835" w:type="dxa"/>
            <w:vAlign w:val="center"/>
          </w:tcPr>
          <w:p>
            <w:pPr>
              <w:adjustRightInd w:val="0"/>
              <w:snapToGrid w:val="0"/>
              <w:spacing w:line="276" w:lineRule="auto"/>
              <w:jc w:val="center"/>
              <w:rPr>
                <w:rFonts w:asciiTheme="minorEastAsia" w:hAnsiTheme="minorEastAsia"/>
                <w:bCs/>
                <w:szCs w:val="21"/>
              </w:rPr>
            </w:pPr>
            <w:r>
              <w:rPr>
                <w:rFonts w:hint="eastAsia" w:cs="宋体" w:asciiTheme="minorEastAsia" w:hAnsiTheme="minorEastAsia"/>
                <w:bCs/>
                <w:szCs w:val="21"/>
              </w:rPr>
              <w:t>专著合作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9" w:hRule="exact"/>
          <w:jc w:val="center"/>
        </w:trPr>
        <w:tc>
          <w:tcPr>
            <w:tcW w:w="810"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6</w:t>
            </w:r>
          </w:p>
        </w:tc>
        <w:tc>
          <w:tcPr>
            <w:tcW w:w="892" w:type="dxa"/>
            <w:vAlign w:val="center"/>
          </w:tcPr>
          <w:p>
            <w:pPr>
              <w:adjustRightInd w:val="0"/>
              <w:snapToGrid w:val="0"/>
              <w:spacing w:line="276" w:lineRule="auto"/>
              <w:jc w:val="center"/>
              <w:rPr>
                <w:rFonts w:asciiTheme="minorEastAsia" w:hAnsiTheme="minorEastAsia"/>
                <w:bCs/>
                <w:szCs w:val="21"/>
              </w:rPr>
            </w:pPr>
            <w:r>
              <w:rPr>
                <w:rFonts w:hint="eastAsia" w:cs="宋体" w:asciiTheme="minorEastAsia" w:hAnsiTheme="minorEastAsia"/>
                <w:bCs/>
                <w:szCs w:val="21"/>
              </w:rPr>
              <w:t>穆志龙</w:t>
            </w:r>
          </w:p>
        </w:tc>
        <w:tc>
          <w:tcPr>
            <w:tcW w:w="1134"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szCs w:val="21"/>
              </w:rPr>
              <w:t>主治医师</w:t>
            </w:r>
          </w:p>
        </w:tc>
        <w:tc>
          <w:tcPr>
            <w:tcW w:w="1134"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szCs w:val="21"/>
              </w:rPr>
              <w:t>无</w:t>
            </w:r>
          </w:p>
        </w:tc>
        <w:tc>
          <w:tcPr>
            <w:tcW w:w="1134"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szCs w:val="21"/>
              </w:rPr>
              <w:t>陕西省人民医院</w:t>
            </w:r>
          </w:p>
        </w:tc>
        <w:tc>
          <w:tcPr>
            <w:tcW w:w="1134"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szCs w:val="21"/>
              </w:rPr>
              <w:t>陕西省人民医院</w:t>
            </w:r>
          </w:p>
        </w:tc>
        <w:tc>
          <w:tcPr>
            <w:tcW w:w="2835" w:type="dxa"/>
            <w:vAlign w:val="center"/>
          </w:tcPr>
          <w:p>
            <w:pPr>
              <w:adjustRightInd w:val="0"/>
              <w:snapToGrid w:val="0"/>
              <w:spacing w:line="276" w:lineRule="auto"/>
              <w:jc w:val="center"/>
              <w:rPr>
                <w:rFonts w:asciiTheme="minorEastAsia" w:hAnsiTheme="minorEastAsia"/>
                <w:bCs/>
                <w:szCs w:val="21"/>
              </w:rPr>
            </w:pPr>
            <w:r>
              <w:rPr>
                <w:rFonts w:hint="eastAsia" w:cs="宋体" w:asciiTheme="minorEastAsia" w:hAnsiTheme="minorEastAsia"/>
                <w:szCs w:val="21"/>
              </w:rPr>
              <w:t>病例收集、论文合著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7" w:hRule="exact"/>
          <w:jc w:val="center"/>
        </w:trPr>
        <w:tc>
          <w:tcPr>
            <w:tcW w:w="810"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7</w:t>
            </w:r>
          </w:p>
        </w:tc>
        <w:tc>
          <w:tcPr>
            <w:tcW w:w="892" w:type="dxa"/>
            <w:vAlign w:val="center"/>
          </w:tcPr>
          <w:p>
            <w:pPr>
              <w:adjustRightInd w:val="0"/>
              <w:snapToGrid w:val="0"/>
              <w:spacing w:line="276" w:lineRule="auto"/>
              <w:jc w:val="center"/>
              <w:rPr>
                <w:rFonts w:asciiTheme="minorEastAsia" w:hAnsiTheme="minorEastAsia"/>
                <w:bCs/>
                <w:szCs w:val="21"/>
              </w:rPr>
            </w:pPr>
            <w:r>
              <w:rPr>
                <w:rFonts w:hint="eastAsia" w:cs="宋体" w:asciiTheme="minorEastAsia" w:hAnsiTheme="minorEastAsia"/>
                <w:bCs/>
                <w:szCs w:val="21"/>
              </w:rPr>
              <w:t>张西嫔</w:t>
            </w:r>
          </w:p>
        </w:tc>
        <w:tc>
          <w:tcPr>
            <w:tcW w:w="1134"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szCs w:val="21"/>
              </w:rPr>
              <w:t>主管护师</w:t>
            </w:r>
          </w:p>
        </w:tc>
        <w:tc>
          <w:tcPr>
            <w:tcW w:w="1134"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szCs w:val="21"/>
              </w:rPr>
              <w:t>儿童病院</w:t>
            </w:r>
          </w:p>
          <w:p>
            <w:pPr>
              <w:adjustRightInd w:val="0"/>
              <w:snapToGrid w:val="0"/>
              <w:spacing w:line="276" w:lineRule="auto"/>
              <w:jc w:val="center"/>
              <w:rPr>
                <w:rFonts w:asciiTheme="minorEastAsia" w:hAnsiTheme="minorEastAsia"/>
                <w:bCs/>
                <w:szCs w:val="21"/>
              </w:rPr>
            </w:pPr>
            <w:r>
              <w:rPr>
                <w:rFonts w:asciiTheme="minorEastAsia" w:hAnsiTheme="minorEastAsia"/>
                <w:bCs/>
                <w:szCs w:val="21"/>
              </w:rPr>
              <w:t>总护士长</w:t>
            </w:r>
          </w:p>
        </w:tc>
        <w:tc>
          <w:tcPr>
            <w:tcW w:w="1134"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szCs w:val="21"/>
              </w:rPr>
              <w:t>陕西省人民医院</w:t>
            </w:r>
          </w:p>
        </w:tc>
        <w:tc>
          <w:tcPr>
            <w:tcW w:w="1134"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szCs w:val="21"/>
              </w:rPr>
              <w:t>陕西省人民医院</w:t>
            </w:r>
          </w:p>
        </w:tc>
        <w:tc>
          <w:tcPr>
            <w:tcW w:w="2835" w:type="dxa"/>
            <w:vAlign w:val="center"/>
          </w:tcPr>
          <w:p>
            <w:pPr>
              <w:adjustRightInd w:val="0"/>
              <w:snapToGrid w:val="0"/>
              <w:spacing w:line="276" w:lineRule="auto"/>
              <w:jc w:val="center"/>
              <w:rPr>
                <w:rFonts w:asciiTheme="minorEastAsia" w:hAnsiTheme="minorEastAsia"/>
                <w:bCs/>
                <w:szCs w:val="21"/>
              </w:rPr>
            </w:pPr>
            <w:r>
              <w:rPr>
                <w:rFonts w:hint="eastAsia" w:cs="宋体" w:asciiTheme="minorEastAsia" w:hAnsiTheme="minorEastAsia"/>
                <w:bCs/>
                <w:szCs w:val="21"/>
              </w:rPr>
              <w:t>专著合作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exact"/>
          <w:jc w:val="center"/>
        </w:trPr>
        <w:tc>
          <w:tcPr>
            <w:tcW w:w="810"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8</w:t>
            </w:r>
          </w:p>
        </w:tc>
        <w:tc>
          <w:tcPr>
            <w:tcW w:w="892" w:type="dxa"/>
            <w:vAlign w:val="center"/>
          </w:tcPr>
          <w:p>
            <w:pPr>
              <w:adjustRightInd w:val="0"/>
              <w:snapToGrid w:val="0"/>
              <w:spacing w:line="276" w:lineRule="auto"/>
              <w:jc w:val="center"/>
              <w:rPr>
                <w:rFonts w:asciiTheme="minorEastAsia" w:hAnsiTheme="minorEastAsia"/>
                <w:bCs/>
                <w:szCs w:val="21"/>
              </w:rPr>
            </w:pPr>
            <w:r>
              <w:rPr>
                <w:rFonts w:hint="eastAsia" w:cs="宋体" w:asciiTheme="minorEastAsia" w:hAnsiTheme="minorEastAsia"/>
                <w:bCs/>
                <w:szCs w:val="21"/>
              </w:rPr>
              <w:t>李静</w:t>
            </w:r>
          </w:p>
        </w:tc>
        <w:tc>
          <w:tcPr>
            <w:tcW w:w="1134"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szCs w:val="21"/>
              </w:rPr>
              <w:t>副主任医师</w:t>
            </w:r>
          </w:p>
        </w:tc>
        <w:tc>
          <w:tcPr>
            <w:tcW w:w="1134"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szCs w:val="21"/>
              </w:rPr>
              <w:t>无</w:t>
            </w:r>
          </w:p>
        </w:tc>
        <w:tc>
          <w:tcPr>
            <w:tcW w:w="1134"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szCs w:val="21"/>
              </w:rPr>
              <w:t>陕西省人民医院</w:t>
            </w:r>
          </w:p>
        </w:tc>
        <w:tc>
          <w:tcPr>
            <w:tcW w:w="1134"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szCs w:val="21"/>
              </w:rPr>
              <w:t>陕西省人民医院</w:t>
            </w:r>
          </w:p>
        </w:tc>
        <w:tc>
          <w:tcPr>
            <w:tcW w:w="2835" w:type="dxa"/>
            <w:vAlign w:val="center"/>
          </w:tcPr>
          <w:p>
            <w:pPr>
              <w:adjustRightInd w:val="0"/>
              <w:snapToGrid w:val="0"/>
              <w:spacing w:line="276" w:lineRule="auto"/>
              <w:jc w:val="center"/>
              <w:rPr>
                <w:rFonts w:asciiTheme="minorEastAsia" w:hAnsiTheme="minorEastAsia"/>
                <w:bCs/>
                <w:szCs w:val="21"/>
              </w:rPr>
            </w:pPr>
            <w:r>
              <w:rPr>
                <w:rFonts w:hint="eastAsia" w:cs="宋体" w:asciiTheme="minorEastAsia" w:hAnsiTheme="minorEastAsia"/>
                <w:bCs/>
                <w:szCs w:val="21"/>
              </w:rPr>
              <w:t>统计分析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exact"/>
          <w:jc w:val="center"/>
        </w:trPr>
        <w:tc>
          <w:tcPr>
            <w:tcW w:w="810"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9</w:t>
            </w:r>
          </w:p>
        </w:tc>
        <w:tc>
          <w:tcPr>
            <w:tcW w:w="892" w:type="dxa"/>
            <w:vAlign w:val="center"/>
          </w:tcPr>
          <w:p>
            <w:pPr>
              <w:adjustRightInd w:val="0"/>
              <w:snapToGrid w:val="0"/>
              <w:spacing w:line="276" w:lineRule="auto"/>
              <w:jc w:val="center"/>
              <w:rPr>
                <w:rFonts w:asciiTheme="minorEastAsia" w:hAnsiTheme="minorEastAsia"/>
                <w:bCs/>
                <w:szCs w:val="21"/>
              </w:rPr>
            </w:pPr>
            <w:r>
              <w:rPr>
                <w:rFonts w:hint="eastAsia" w:cs="宋体" w:asciiTheme="minorEastAsia" w:hAnsiTheme="minorEastAsia"/>
                <w:bCs/>
                <w:szCs w:val="21"/>
              </w:rPr>
              <w:t>王杰民</w:t>
            </w:r>
          </w:p>
        </w:tc>
        <w:tc>
          <w:tcPr>
            <w:tcW w:w="1134"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szCs w:val="21"/>
              </w:rPr>
              <w:t>主任医师</w:t>
            </w:r>
          </w:p>
        </w:tc>
        <w:tc>
          <w:tcPr>
            <w:tcW w:w="1134"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szCs w:val="21"/>
              </w:rPr>
              <w:t>儿童病院</w:t>
            </w:r>
          </w:p>
          <w:p>
            <w:pPr>
              <w:adjustRightInd w:val="0"/>
              <w:snapToGrid w:val="0"/>
              <w:spacing w:line="276" w:lineRule="auto"/>
              <w:jc w:val="center"/>
              <w:rPr>
                <w:rFonts w:asciiTheme="minorEastAsia" w:hAnsiTheme="minorEastAsia"/>
                <w:bCs/>
                <w:szCs w:val="21"/>
              </w:rPr>
            </w:pPr>
            <w:r>
              <w:rPr>
                <w:rFonts w:asciiTheme="minorEastAsia" w:hAnsiTheme="minorEastAsia"/>
                <w:bCs/>
                <w:szCs w:val="21"/>
              </w:rPr>
              <w:t>副院长</w:t>
            </w:r>
          </w:p>
        </w:tc>
        <w:tc>
          <w:tcPr>
            <w:tcW w:w="1134"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szCs w:val="21"/>
              </w:rPr>
              <w:t>陕西省人民医院</w:t>
            </w:r>
          </w:p>
        </w:tc>
        <w:tc>
          <w:tcPr>
            <w:tcW w:w="1134"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szCs w:val="21"/>
              </w:rPr>
              <w:t>陕西省人民医院</w:t>
            </w:r>
          </w:p>
        </w:tc>
        <w:tc>
          <w:tcPr>
            <w:tcW w:w="2835" w:type="dxa"/>
            <w:vAlign w:val="center"/>
          </w:tcPr>
          <w:p>
            <w:pPr>
              <w:adjustRightInd w:val="0"/>
              <w:snapToGrid w:val="0"/>
              <w:spacing w:line="276" w:lineRule="auto"/>
              <w:jc w:val="center"/>
              <w:rPr>
                <w:rFonts w:asciiTheme="minorEastAsia" w:hAnsiTheme="minorEastAsia"/>
                <w:bCs/>
                <w:szCs w:val="21"/>
              </w:rPr>
            </w:pPr>
            <w:r>
              <w:rPr>
                <w:rFonts w:hint="eastAsia" w:cs="宋体" w:asciiTheme="minorEastAsia" w:hAnsiTheme="minorEastAsia"/>
                <w:bCs/>
                <w:szCs w:val="21"/>
              </w:rPr>
              <w:t>质控、</w:t>
            </w:r>
            <w:r>
              <w:rPr>
                <w:rFonts w:hint="eastAsia" w:cs="宋体" w:asciiTheme="minorEastAsia" w:hAnsiTheme="minorEastAsia"/>
                <w:szCs w:val="21"/>
              </w:rPr>
              <w:t>论文合著</w:t>
            </w:r>
          </w:p>
        </w:tc>
      </w:tr>
    </w:tbl>
    <w:p>
      <w:pPr>
        <w:spacing w:line="360" w:lineRule="auto"/>
        <w:rPr>
          <w:rFonts w:asciiTheme="minorEastAsia" w:hAnsiTheme="minorEastAsia"/>
          <w:b/>
          <w:sz w:val="24"/>
          <w:szCs w:val="24"/>
        </w:rPr>
      </w:pPr>
      <w:r>
        <w:rPr>
          <w:rFonts w:hint="eastAsia" w:asciiTheme="minorEastAsia" w:hAnsiTheme="minorEastAsia"/>
          <w:b/>
          <w:sz w:val="24"/>
          <w:szCs w:val="24"/>
        </w:rPr>
        <w:t>3 项目简介、客观评价及应用情况：</w:t>
      </w:r>
      <w:r>
        <w:rPr>
          <w:rFonts w:asciiTheme="minorEastAsia" w:hAnsiTheme="minorEastAsia"/>
          <w:b/>
          <w:sz w:val="24"/>
          <w:szCs w:val="24"/>
        </w:rPr>
        <w:t xml:space="preserve"> </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川崎病(Kawasaki disease，KD)好发于5岁以下儿童，是以全身中、小动脉炎性病变为主要病理变化的急性、自限性的全身性血管炎。冠状动脉病变是川崎病最严重的并发症，并且与成年后冠状动脉阻塞和动脉硬化有关。未经治疗的川崎病患儿高达25%可发生冠状动脉病变，导致心肌梗塞、猝死和局部缺血性心脏病，是导致儿童后天性心脏病的首位病因。</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行病学研究</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本课题组自1998年开始与川崎病发现者-日本KD研究所川崎富作医师进行KD流行病学、病因及临床诊治探讨等相关方面研究，首次在《中华流行病学杂志》上发表《陕西省川崎病流行病学调查研究》。在国内建立了唯一的中国川崎病网</w:t>
      </w:r>
      <w:r>
        <w:fldChar w:fldCharType="begin"/>
      </w:r>
      <w:r>
        <w:instrText xml:space="preserve"> HYPERLINK "http://www.chinakd.ord" </w:instrText>
      </w:r>
      <w:r>
        <w:fldChar w:fldCharType="separate"/>
      </w:r>
      <w:r>
        <w:rPr>
          <w:rFonts w:hint="eastAsia" w:ascii="宋体" w:hAnsi="宋体" w:eastAsia="宋体" w:cs="宋体"/>
          <w:bCs/>
          <w:color w:val="000000"/>
          <w:szCs w:val="24"/>
        </w:rPr>
        <w:t>www.chinakd.ord</w:t>
      </w:r>
      <w:r>
        <w:rPr>
          <w:rFonts w:hint="eastAsia" w:ascii="宋体" w:hAnsi="宋体" w:eastAsia="宋体" w:cs="宋体"/>
          <w:bCs/>
          <w:color w:val="000000"/>
          <w:szCs w:val="24"/>
        </w:rPr>
        <w:fldChar w:fldCharType="end"/>
      </w:r>
      <w:r>
        <w:rPr>
          <w:rFonts w:hint="eastAsia" w:ascii="宋体" w:hAnsi="宋体" w:eastAsia="宋体" w:cs="宋体"/>
          <w:bCs/>
          <w:color w:val="000000"/>
          <w:szCs w:val="24"/>
        </w:rPr>
        <w:t>，有利于专业人员及病人家属学术交流及科普；经陕西省卫生厅批准成立了唯一的“陕西省川崎病诊疗中心”；同时建立多方沟通、合作与学术推广，与台湾高雄长庚纪念医院、印度、俄罗斯、以色列、希腊等国作为陕西省人民医院川崎病科学研究合作单位，利于收集病例资料，掌握各人种、各区域的流行病学资料、诊疗情况等。</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病因及机制研究</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川崎病的病理特征为广泛的中小血管炎症，以心血管系统的损害最为严重。该病的病因、发病机制至今未明。在临床过程中发现，KD可能是一种多基因复杂疾病，众多易感基因共同构成了KD的遗传基础。因此，在基因检查方面，我们联合台湾高雄长庚纪念医院关于川崎病冠状动脉瘤形成相关的新易感性基因进行全基因组关联进行研究发现：KD患者CAAS发病的潜在途径，有助于研究人员提高个性化医学中KD的诊断和预后，2016年发表在PLoS One杂志，影响因子：2.806。和肽素（copeptin, CP）是下丘脑分泌的一种神经体液因子，在体内是前精氨酸加压素原Ｃ末端的一部分，常被用来评估脑卒中、IgA肾病、心力衰竭、冠脉病变等的严重程度。本项目在国内首次将和肽素这一指标用来研究儿童川崎病冠脉病变急性期血浆中与白介素17A（IL-17A）、肿瘤坏死因子-α（TNF-α）水平的相关性，结果发现：和肽素在川崎病冠脉病变急性期患儿中的血浆水平明显增高，能够在一定程度上评估冠脉病变的严重程度；其与IL-17A，TNF-α的联合检测能提高预测和评估冠脉病变的准确度，对川崎病合并冠脉病变的诊治带来较好的应用价值。此外，在KD患儿首剂丙种球蛋白抵抗的预测因素研究中，我们运用大量的临床病例总结发现，AST和PCT可作为KD中IVIG耐药的预测因子。发表在Novel Approaches in Drug Designing &amp; Development，影响因子：3.876。</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诊断与治疗</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采用多学科合作，从实验室指标的预测、心脏超声评估冠脉、采用双源CT评估严重冠脉损害（如：冠脉瘤合并血栓形成等）等手段以优化川崎病的诊断，并发表相关论文。治疗方面，我们采用大数据病例分析，同时从川崎病基础药物（阿司匹林、双嘧达莫等）、丙种球蛋白、激素应用等方面进行了临床分析，多角度分析、阐述川崎病的治疗，以及对冠脉损害的预防及解决方法，发表数十篇相关论文，同时，焦富勇教授结合多年临床经验，汇总发了《川崎病》专著1本，《川崎病科普知识》专著1本。</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在川崎病的治疗方面，目前大多数主张大剂量丙种球蛋白（2g/Kg）静输阻断免疫反应及预防冠脉扩张，丙球应用后长期口服抗凝药物治疗：阿司匹林、华法林、低分子肝素是常用的抗炎抗凝药物。川崎病患儿，许多合并冠脉损伤的口服药物时间长，冠脉瘤形成患儿需终身服用，临床中常会导致出血和肝脏损伤等毒副作用。目前尚无可以替代的治疗方案，祖国医学方面，对川崎病的治疗几乎空白状态。我们研发葛根、丹参、川芎三种药物主要化学成分的药理作用，临床应用中发现具有增加冠脉血流量，改善心肌的血氧供应，并降低心肌的耗氧量；改善微循环，能降低血小板表面活性，抑制血小板凝集，预防血栓形成的作用。成本低廉，副作用小，疗效显著。</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川崎病的护理</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对于川崎病患儿，我们采取优质护理服务（体温、皮肤粘膜护理、患儿情绪、家长心理等），要求责任护士对病人实行责任包干护理模式，责任护士通过各种措施及时对病人进行健康教育，大大提高了病人的遵医行为。出院后的延伸服务，既确保了病人的正确用药及按时复诊，又密切了护患关系，提高了病人的满意度。</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⑤川崎病的眼部血管改变相关研究</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川崎病以免疫系统活化和血管内皮系统广泛损害为特征，其病理变化为全身性血管炎。眼部血管改变也是其中的一部分，可以导致视乳头水肿、视网膜静脉扩张、角膜炎、前葡萄膜炎，严重可导致视力损害。研究表明，抗体的免疫反应过程中，常有抗原抗体结合形成免疫复合物局部沉积在葡萄膜，同时激活补体，吸引嗜中性粒细胞，引起组织损伤及血管炎症。视网膜色素上皮细胞是葡萄膜的主要细胞组成部分，故视网膜色素上皮细胞的行为和功能研究是川崎病眼部病变的重点。我们前期研究发现缺血缺氧可刺激视网膜色素上皮细胞的增殖和迁移，促进VEGF高表达，同时使其下游的信号转导通路上的炎性因子均高表达。而内皮抑素和抗VEGF拮抗剂可以抑制上述行为。这对川崎病相关眼部血管病变的治疗有着重要的意义。</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我们在后期的研究中，我们将着手从流行病学、大范围的临床数据采集研究、动物模型构建、基因水平层面、多学科合作预测、评估及治疗方面等细化、广泛化研究。我们坚信，该成果的广泛推广，必将对全面提高我省川崎病的诊治水平，对改善儿童川崎病的预后起到积极作用。</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川崎病的诊治一直是国际上临床研究的焦点问题之一，积极探索最佳的川崎病早期评估、治疗方案，广泛推广长期管理方案，进而有效减轻和控制川崎病急性期的冠状动脉壁炎性反应，有效预防冠状动脉瘤个体的心肌缺血和心肌梗死，对儿童以至成人的健康水平提高具有深远而积极的影响。迄今为止，川崎病的诊断仍然采用几组症状与体征的综合征诊断形式，缺乏特异性的客观诊断指标。</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我们课题组采用多学科合作的方式，从实验室指标的预测、心脏超声评估冠脉、采用双源CT评估严重冠脉损害（如：冠脉瘤等）等评估手段以优化川崎病的诊断，采用大数据病例分析，同时从川崎病基础药物（阿司匹林、双嘧达莫等）、丙种球蛋白、激素应用等方面进行了临床分析，多角度分析、阐述川崎病的治疗，以及关键对冠脉损害的预防及解决方法，并且采用中药的方式治疗，临床价格低廉，副作用小，临床取得了很好的效果。</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此外，我们项目组率先在《中华流行病学杂志》上发表《陕西省川崎病流行病学调查研究》一文，调查显示：川崎病是我省儿童较常见的疾病，西安地区是高发病区，3岁以下发病率高，心脏后遗症多。提示川崎病的研究目前已经成为儿科心血管领域的重要课题。应提高广大基层医师对该病的认识，做到早诊早治，降低发病率及死亡率。建立了我国唯一的中国川崎病网</w:t>
      </w:r>
      <w:r>
        <w:rPr>
          <w:rFonts w:ascii="宋体" w:hAnsi="宋体" w:eastAsia="宋体" w:cs="宋体"/>
          <w:bCs/>
          <w:color w:val="000000"/>
          <w:szCs w:val="24"/>
        </w:rPr>
        <w:fldChar w:fldCharType="begin"/>
      </w:r>
      <w:r>
        <w:rPr>
          <w:rFonts w:ascii="宋体" w:hAnsi="宋体" w:eastAsia="宋体" w:cs="宋体"/>
          <w:bCs/>
          <w:color w:val="000000"/>
          <w:szCs w:val="24"/>
        </w:rPr>
        <w:instrText xml:space="preserve">HYPERLINK "http://www.chinakd.org"</w:instrText>
      </w:r>
      <w:r>
        <w:rPr>
          <w:rFonts w:ascii="宋体" w:hAnsi="宋体" w:eastAsia="宋体" w:cs="宋体"/>
          <w:bCs/>
          <w:color w:val="000000"/>
          <w:szCs w:val="24"/>
        </w:rPr>
        <w:fldChar w:fldCharType="separate"/>
      </w:r>
      <w:r>
        <w:rPr>
          <w:rFonts w:hint="eastAsia" w:ascii="宋体" w:hAnsi="宋体" w:eastAsia="宋体"/>
          <w:bCs/>
          <w:color w:val="000000"/>
        </w:rPr>
        <w:t>www.chinakd.org</w:t>
      </w:r>
      <w:r>
        <w:rPr>
          <w:rFonts w:ascii="宋体" w:hAnsi="宋体" w:eastAsia="宋体" w:cs="宋体"/>
          <w:bCs/>
          <w:color w:val="000000"/>
          <w:szCs w:val="24"/>
        </w:rPr>
        <w:fldChar w:fldCharType="end"/>
      </w:r>
      <w:r>
        <w:rPr>
          <w:rFonts w:hint="eastAsia" w:ascii="宋体" w:hAnsi="宋体" w:eastAsia="宋体" w:cs="宋体"/>
          <w:bCs/>
          <w:color w:val="000000"/>
        </w:rPr>
        <w:t>；</w:t>
      </w:r>
      <w:r>
        <w:rPr>
          <w:rFonts w:hint="eastAsia" w:ascii="宋体" w:hAnsi="宋体" w:eastAsia="宋体" w:cs="宋体"/>
          <w:bCs/>
          <w:color w:val="000000"/>
          <w:szCs w:val="24"/>
        </w:rPr>
        <w:t xml:space="preserve">在西安举办第二届西部川崎病国际大会，日本川崎病研究所派出四名顶尖级专家参加会议，另外，亚洲其他等十多位外国专家参加会议。通过临床实验发现了和肽素在川崎病冠脉病变急性期患儿中的血浆水明显增高，能够在一定程度上评估冠脉病变的严重程度；其与IL-17A，TNF-α的联合检测有望提高预测和评估冠脉病变的准确度。 </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发明专利“一种预防及治疗川崎病冠脉损伤的中药制剂”；2015年由陕西省卫建委批准在我院建立了全省唯一的川崎病诊疗中心，2016年在我院建立陕西省儿内科疾病诊疗中心，并于2018年成立了全省9个分中心；研究组近年来发表川崎病相关论文18余篇，其中SCI收录10篇，出版川崎病及川崎病科普书籍2部，举办次国际会议，川崎病专题讲座20余次，培养研究生2名。</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在诊断与治疗川崎病的过程中，我们采用“三个五”诊断模式，心脏超声诊断川崎病冠状动脉损伤，口服阿司匹林、双嘧达莫、华法令，静脉输注大剂量丙种球蛋白（IVIG），甲基泼尼松龙冲击及中药治疗川崎病冠状动脉损伤。应用西安市大兴医院、西安市天佑医院、西安市长安医院、铜川市人民医院、神木市人民医院、河南省儿童医院等，临床取得了一定效果。</w:t>
      </w:r>
    </w:p>
    <w:p>
      <w:pPr>
        <w:spacing w:line="360" w:lineRule="auto"/>
        <w:rPr>
          <w:rFonts w:asciiTheme="minorEastAsia" w:hAnsiTheme="minorEastAsia"/>
          <w:b/>
          <w:sz w:val="24"/>
          <w:szCs w:val="24"/>
        </w:rPr>
      </w:pPr>
      <w:r>
        <w:rPr>
          <w:rFonts w:hint="eastAsia" w:asciiTheme="minorEastAsia" w:hAnsiTheme="minorEastAsia"/>
          <w:b/>
          <w:sz w:val="24"/>
          <w:szCs w:val="24"/>
        </w:rPr>
        <w:t>4 主要知识产权和标准规范等目录</w:t>
      </w:r>
    </w:p>
    <w:tbl>
      <w:tblPr>
        <w:tblStyle w:val="3"/>
        <w:tblW w:w="8505" w:type="dxa"/>
        <w:jc w:val="center"/>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835"/>
        <w:gridCol w:w="2268"/>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jc w:val="center"/>
        </w:trPr>
        <w:tc>
          <w:tcPr>
            <w:tcW w:w="567" w:type="dxa"/>
            <w:shd w:val="clear" w:color="auto" w:fill="auto"/>
            <w:vAlign w:val="center"/>
          </w:tcPr>
          <w:p>
            <w:pPr>
              <w:jc w:val="center"/>
              <w:rPr>
                <w:rFonts w:asciiTheme="minorEastAsia" w:hAnsiTheme="minorEastAsia"/>
                <w:szCs w:val="21"/>
                <w:shd w:val="clear" w:color="FFFFFF" w:fill="D9D9D9"/>
              </w:rPr>
            </w:pPr>
            <w:r>
              <w:rPr>
                <w:rFonts w:hint="eastAsia" w:asciiTheme="minorEastAsia" w:hAnsiTheme="minorEastAsia"/>
                <w:b/>
                <w:szCs w:val="21"/>
              </w:rPr>
              <w:t>序号</w:t>
            </w:r>
          </w:p>
        </w:tc>
        <w:tc>
          <w:tcPr>
            <w:tcW w:w="2835" w:type="dxa"/>
            <w:shd w:val="clear" w:color="auto" w:fill="auto"/>
            <w:vAlign w:val="center"/>
          </w:tcPr>
          <w:p>
            <w:pPr>
              <w:jc w:val="center"/>
              <w:rPr>
                <w:rFonts w:asciiTheme="minorEastAsia" w:hAnsiTheme="minorEastAsia"/>
                <w:szCs w:val="21"/>
                <w:shd w:val="clear" w:color="FFFFFF" w:fill="D9D9D9"/>
              </w:rPr>
            </w:pPr>
            <w:r>
              <w:rPr>
                <w:rFonts w:hint="eastAsia" w:asciiTheme="minorEastAsia" w:hAnsiTheme="minorEastAsia"/>
                <w:b/>
                <w:szCs w:val="21"/>
              </w:rPr>
              <w:t>论文名称</w:t>
            </w:r>
          </w:p>
        </w:tc>
        <w:tc>
          <w:tcPr>
            <w:tcW w:w="2268" w:type="dxa"/>
            <w:shd w:val="clear" w:color="auto" w:fill="auto"/>
            <w:vAlign w:val="center"/>
          </w:tcPr>
          <w:p>
            <w:pPr>
              <w:jc w:val="center"/>
              <w:rPr>
                <w:rFonts w:asciiTheme="minorEastAsia" w:hAnsiTheme="minorEastAsia"/>
                <w:szCs w:val="21"/>
                <w:shd w:val="clear" w:color="FFFFFF" w:fill="D9D9D9"/>
              </w:rPr>
            </w:pPr>
            <w:r>
              <w:rPr>
                <w:rFonts w:hint="eastAsia" w:asciiTheme="minorEastAsia" w:hAnsiTheme="minorEastAsia"/>
                <w:b/>
                <w:szCs w:val="21"/>
              </w:rPr>
              <w:t>刊物名称、卷期及页码</w:t>
            </w:r>
          </w:p>
        </w:tc>
        <w:tc>
          <w:tcPr>
            <w:tcW w:w="2835" w:type="dxa"/>
            <w:shd w:val="clear" w:color="auto" w:fill="auto"/>
            <w:vAlign w:val="center"/>
          </w:tcPr>
          <w:p>
            <w:pPr>
              <w:jc w:val="center"/>
              <w:rPr>
                <w:rFonts w:asciiTheme="minorEastAsia" w:hAnsiTheme="minorEastAsia"/>
                <w:b/>
                <w:szCs w:val="21"/>
                <w:shd w:val="clear" w:color="FFFFFF" w:fill="D9D9D9"/>
              </w:rPr>
            </w:pPr>
            <w:r>
              <w:rPr>
                <w:rFonts w:asciiTheme="minorEastAsia" w:hAnsiTheme="minorEastAsia"/>
                <w:b/>
                <w:szCs w:val="21"/>
                <w:shd w:val="clear" w:color="FFFFFF" w:fill="D9D9D9"/>
              </w:rPr>
              <w:t>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5" w:hRule="atLeast"/>
          <w:jc w:val="center"/>
        </w:trPr>
        <w:tc>
          <w:tcPr>
            <w:tcW w:w="567"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1</w:t>
            </w:r>
          </w:p>
        </w:tc>
        <w:tc>
          <w:tcPr>
            <w:tcW w:w="2835"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Predictors of First Dose of Immunoglobulin</w:t>
            </w:r>
          </w:p>
          <w:p>
            <w:pPr>
              <w:jc w:val="center"/>
              <w:rPr>
                <w:rFonts w:asciiTheme="minorEastAsia" w:hAnsiTheme="minorEastAsia"/>
                <w:kern w:val="0"/>
                <w:szCs w:val="21"/>
              </w:rPr>
            </w:pPr>
            <w:r>
              <w:rPr>
                <w:rFonts w:asciiTheme="minorEastAsia" w:hAnsiTheme="minorEastAsia"/>
                <w:kern w:val="0"/>
                <w:szCs w:val="21"/>
              </w:rPr>
              <w:t>Resistance in Children with Kawasaki Disease</w:t>
            </w:r>
          </w:p>
        </w:tc>
        <w:tc>
          <w:tcPr>
            <w:tcW w:w="2268"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Novel Approaches in Drug Designing &amp; Development</w:t>
            </w:r>
          </w:p>
          <w:p>
            <w:pPr>
              <w:jc w:val="center"/>
              <w:rPr>
                <w:rFonts w:asciiTheme="minorEastAsia" w:hAnsiTheme="minorEastAsia"/>
                <w:kern w:val="0"/>
                <w:szCs w:val="21"/>
              </w:rPr>
            </w:pPr>
            <w:r>
              <w:rPr>
                <w:rFonts w:asciiTheme="minorEastAsia" w:hAnsiTheme="minorEastAsia"/>
                <w:kern w:val="0"/>
                <w:szCs w:val="21"/>
              </w:rPr>
              <w:t>2018年04卷555637</w:t>
            </w:r>
          </w:p>
        </w:tc>
        <w:tc>
          <w:tcPr>
            <w:tcW w:w="2835"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Ma Lei,</w:t>
            </w:r>
          </w:p>
          <w:p>
            <w:pPr>
              <w:jc w:val="center"/>
              <w:rPr>
                <w:rFonts w:asciiTheme="minorEastAsia" w:hAnsiTheme="minorEastAsia"/>
                <w:kern w:val="0"/>
                <w:szCs w:val="21"/>
              </w:rPr>
            </w:pPr>
            <w:r>
              <w:rPr>
                <w:rFonts w:asciiTheme="minorEastAsia" w:hAnsiTheme="minorEastAsia"/>
                <w:kern w:val="0"/>
                <w:szCs w:val="21"/>
              </w:rPr>
              <w:t xml:space="preserve">Jiao Fu-Yong, </w:t>
            </w:r>
          </w:p>
          <w:p>
            <w:pPr>
              <w:jc w:val="center"/>
              <w:rPr>
                <w:rFonts w:asciiTheme="minorEastAsia" w:hAnsiTheme="minorEastAsia"/>
                <w:kern w:val="0"/>
                <w:szCs w:val="21"/>
              </w:rPr>
            </w:pPr>
            <w:r>
              <w:rPr>
                <w:rFonts w:asciiTheme="minorEastAsia" w:hAnsiTheme="minorEastAsia"/>
                <w:kern w:val="0"/>
                <w:szCs w:val="21"/>
              </w:rPr>
              <w:t>Wang Jie-Min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1" w:hRule="atLeast"/>
          <w:jc w:val="center"/>
        </w:trPr>
        <w:tc>
          <w:tcPr>
            <w:tcW w:w="567" w:type="dxa"/>
            <w:shd w:val="clear" w:color="auto" w:fill="auto"/>
            <w:vAlign w:val="center"/>
          </w:tcPr>
          <w:p>
            <w:pPr>
              <w:jc w:val="center"/>
              <w:rPr>
                <w:rFonts w:asciiTheme="minorEastAsia" w:hAnsiTheme="minorEastAsia"/>
                <w:kern w:val="0"/>
                <w:szCs w:val="21"/>
              </w:rPr>
            </w:pPr>
            <w:r>
              <w:rPr>
                <w:rFonts w:hint="eastAsia" w:asciiTheme="minorEastAsia" w:hAnsiTheme="minorEastAsia"/>
                <w:kern w:val="0"/>
                <w:szCs w:val="21"/>
              </w:rPr>
              <w:t>2</w:t>
            </w:r>
          </w:p>
        </w:tc>
        <w:tc>
          <w:tcPr>
            <w:tcW w:w="2835"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Update on Study of Kawasaki Disease</w:t>
            </w:r>
          </w:p>
        </w:tc>
        <w:tc>
          <w:tcPr>
            <w:tcW w:w="2268"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Journal of Pediatric and Womens Healthcae</w:t>
            </w:r>
          </w:p>
          <w:p>
            <w:pPr>
              <w:jc w:val="center"/>
              <w:rPr>
                <w:rFonts w:asciiTheme="minorEastAsia" w:hAnsiTheme="minorEastAsia"/>
                <w:kern w:val="0"/>
                <w:szCs w:val="21"/>
              </w:rPr>
            </w:pPr>
            <w:r>
              <w:rPr>
                <w:rFonts w:asciiTheme="minorEastAsia" w:hAnsiTheme="minorEastAsia"/>
                <w:kern w:val="0"/>
                <w:szCs w:val="21"/>
              </w:rPr>
              <w:t>2018年01卷1013-1018页</w:t>
            </w:r>
          </w:p>
        </w:tc>
        <w:tc>
          <w:tcPr>
            <w:tcW w:w="2835"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 xml:space="preserve">Fuyong Jiao, </w:t>
            </w:r>
          </w:p>
          <w:p>
            <w:pPr>
              <w:jc w:val="center"/>
              <w:rPr>
                <w:rFonts w:asciiTheme="minorEastAsia" w:hAnsiTheme="minorEastAsia"/>
                <w:kern w:val="0"/>
                <w:szCs w:val="21"/>
              </w:rPr>
            </w:pPr>
            <w:r>
              <w:rPr>
                <w:rFonts w:asciiTheme="minorEastAsia" w:hAnsiTheme="minorEastAsia"/>
                <w:kern w:val="0"/>
                <w:szCs w:val="21"/>
              </w:rPr>
              <w:t xml:space="preserve">Zhilong Mu, </w:t>
            </w:r>
          </w:p>
          <w:p>
            <w:pPr>
              <w:jc w:val="center"/>
              <w:rPr>
                <w:rFonts w:asciiTheme="minorEastAsia" w:hAnsiTheme="minorEastAsia"/>
                <w:kern w:val="0"/>
                <w:szCs w:val="21"/>
              </w:rPr>
            </w:pPr>
            <w:r>
              <w:rPr>
                <w:rFonts w:asciiTheme="minorEastAsia" w:hAnsiTheme="minorEastAsia"/>
                <w:kern w:val="0"/>
                <w:szCs w:val="21"/>
              </w:rPr>
              <w:t>Xian Wang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7" w:type="dxa"/>
            <w:shd w:val="clear" w:color="auto" w:fill="auto"/>
            <w:vAlign w:val="center"/>
          </w:tcPr>
          <w:p>
            <w:pPr>
              <w:jc w:val="center"/>
              <w:rPr>
                <w:rFonts w:asciiTheme="minorEastAsia" w:hAnsiTheme="minorEastAsia"/>
                <w:kern w:val="0"/>
                <w:szCs w:val="21"/>
              </w:rPr>
            </w:pPr>
            <w:r>
              <w:rPr>
                <w:rFonts w:hint="eastAsia" w:asciiTheme="minorEastAsia" w:hAnsiTheme="minorEastAsia"/>
                <w:kern w:val="0"/>
                <w:szCs w:val="21"/>
              </w:rPr>
              <w:t>3</w:t>
            </w:r>
          </w:p>
        </w:tc>
        <w:tc>
          <w:tcPr>
            <w:tcW w:w="2835"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The xi’an Experience of Kawasaki Disease-Lessons Learnt  over  5  years</w:t>
            </w:r>
          </w:p>
        </w:tc>
        <w:tc>
          <w:tcPr>
            <w:tcW w:w="2268"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 xml:space="preserve">Indian </w:t>
            </w:r>
            <w:r>
              <w:rPr>
                <w:rFonts w:hint="eastAsia" w:asciiTheme="minorEastAsia" w:hAnsiTheme="minorEastAsia"/>
                <w:kern w:val="0"/>
                <w:szCs w:val="21"/>
              </w:rPr>
              <w:t xml:space="preserve"> journal of</w:t>
            </w:r>
          </w:p>
          <w:p>
            <w:pPr>
              <w:jc w:val="center"/>
              <w:rPr>
                <w:rFonts w:asciiTheme="minorEastAsia" w:hAnsiTheme="minorEastAsia"/>
                <w:kern w:val="0"/>
                <w:szCs w:val="21"/>
              </w:rPr>
            </w:pPr>
            <w:r>
              <w:rPr>
                <w:rFonts w:asciiTheme="minorEastAsia" w:hAnsiTheme="minorEastAsia"/>
                <w:kern w:val="0"/>
                <w:szCs w:val="21"/>
              </w:rPr>
              <w:t>Pediatrics</w:t>
            </w:r>
          </w:p>
          <w:p>
            <w:pPr>
              <w:jc w:val="center"/>
              <w:rPr>
                <w:rFonts w:asciiTheme="minorEastAsia" w:hAnsiTheme="minorEastAsia"/>
                <w:kern w:val="0"/>
                <w:szCs w:val="21"/>
              </w:rPr>
            </w:pPr>
            <w:r>
              <w:rPr>
                <w:rFonts w:asciiTheme="minorEastAsia" w:hAnsiTheme="minorEastAsia"/>
                <w:kern w:val="0"/>
                <w:szCs w:val="21"/>
              </w:rPr>
              <w:t>2016年83卷1195-1196页</w:t>
            </w:r>
          </w:p>
        </w:tc>
        <w:tc>
          <w:tcPr>
            <w:tcW w:w="2835"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Fu-Yong Jiao</w:t>
            </w:r>
          </w:p>
          <w:p>
            <w:pPr>
              <w:jc w:val="center"/>
              <w:rPr>
                <w:rFonts w:asciiTheme="minorEastAsia" w:hAnsiTheme="minorEastAsia"/>
                <w:kern w:val="0"/>
                <w:szCs w:val="21"/>
              </w:rPr>
            </w:pPr>
            <w:r>
              <w:rPr>
                <w:rFonts w:asciiTheme="minorEastAsia" w:hAnsiTheme="minorEastAsia"/>
                <w:kern w:val="0"/>
                <w:szCs w:val="21"/>
              </w:rPr>
              <w:t>Xiaohua Yan</w:t>
            </w:r>
          </w:p>
          <w:p>
            <w:pPr>
              <w:jc w:val="center"/>
              <w:rPr>
                <w:rFonts w:asciiTheme="minorEastAsia" w:hAnsiTheme="minorEastAsia"/>
                <w:kern w:val="0"/>
                <w:szCs w:val="21"/>
              </w:rPr>
            </w:pPr>
            <w:r>
              <w:rPr>
                <w:rFonts w:asciiTheme="minorEastAsia" w:hAnsiTheme="minorEastAsia"/>
                <w:kern w:val="0"/>
                <w:szCs w:val="21"/>
              </w:rPr>
              <w:t>Xiao fang Wu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7" w:type="dxa"/>
            <w:shd w:val="clear" w:color="auto" w:fill="auto"/>
            <w:vAlign w:val="center"/>
          </w:tcPr>
          <w:p>
            <w:pPr>
              <w:jc w:val="center"/>
              <w:rPr>
                <w:rFonts w:asciiTheme="minorEastAsia" w:hAnsiTheme="minorEastAsia"/>
                <w:kern w:val="0"/>
                <w:szCs w:val="21"/>
              </w:rPr>
            </w:pPr>
            <w:r>
              <w:rPr>
                <w:rFonts w:hint="eastAsia" w:asciiTheme="minorEastAsia" w:hAnsiTheme="minorEastAsia"/>
                <w:kern w:val="0"/>
                <w:szCs w:val="21"/>
              </w:rPr>
              <w:t>4</w:t>
            </w:r>
          </w:p>
        </w:tc>
        <w:tc>
          <w:tcPr>
            <w:tcW w:w="2835"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Kawasaki Disease：Issues in DiagnosisAnd Treatment-A Developing  Country Perspective</w:t>
            </w:r>
          </w:p>
        </w:tc>
        <w:tc>
          <w:tcPr>
            <w:tcW w:w="2268"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 xml:space="preserve">Indian </w:t>
            </w:r>
            <w:r>
              <w:rPr>
                <w:rFonts w:hint="eastAsia" w:asciiTheme="minorEastAsia" w:hAnsiTheme="minorEastAsia"/>
                <w:kern w:val="0"/>
                <w:szCs w:val="21"/>
              </w:rPr>
              <w:t xml:space="preserve"> journal of</w:t>
            </w:r>
          </w:p>
          <w:p>
            <w:pPr>
              <w:rPr>
                <w:rFonts w:asciiTheme="minorEastAsia" w:hAnsiTheme="minorEastAsia"/>
                <w:kern w:val="0"/>
                <w:szCs w:val="21"/>
              </w:rPr>
            </w:pPr>
            <w:r>
              <w:rPr>
                <w:rFonts w:asciiTheme="minorEastAsia" w:hAnsiTheme="minorEastAsia"/>
                <w:kern w:val="0"/>
                <w:szCs w:val="21"/>
              </w:rPr>
              <w:t>Pediatrics</w:t>
            </w:r>
          </w:p>
          <w:p>
            <w:pPr>
              <w:rPr>
                <w:rFonts w:asciiTheme="minorEastAsia" w:hAnsiTheme="minorEastAsia"/>
                <w:kern w:val="0"/>
                <w:szCs w:val="21"/>
              </w:rPr>
            </w:pPr>
            <w:r>
              <w:rPr>
                <w:rFonts w:asciiTheme="minorEastAsia" w:hAnsiTheme="minorEastAsia"/>
                <w:kern w:val="0"/>
                <w:szCs w:val="21"/>
              </w:rPr>
              <w:t>2016年83卷140-145页</w:t>
            </w:r>
          </w:p>
        </w:tc>
        <w:tc>
          <w:tcPr>
            <w:tcW w:w="2835"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Surjit Singh</w:t>
            </w:r>
          </w:p>
          <w:p>
            <w:pPr>
              <w:jc w:val="center"/>
              <w:rPr>
                <w:rFonts w:asciiTheme="minorEastAsia" w:hAnsiTheme="minorEastAsia"/>
                <w:kern w:val="0"/>
                <w:szCs w:val="21"/>
              </w:rPr>
            </w:pPr>
            <w:r>
              <w:rPr>
                <w:rFonts w:asciiTheme="minorEastAsia" w:hAnsiTheme="minorEastAsia"/>
                <w:kern w:val="0"/>
                <w:szCs w:val="21"/>
              </w:rPr>
              <w:t>Avinash Sharma</w:t>
            </w:r>
          </w:p>
          <w:p>
            <w:pPr>
              <w:jc w:val="center"/>
              <w:rPr>
                <w:rFonts w:asciiTheme="minorEastAsia" w:hAnsiTheme="minorEastAsia"/>
                <w:kern w:val="0"/>
                <w:szCs w:val="21"/>
              </w:rPr>
            </w:pPr>
            <w:r>
              <w:rPr>
                <w:rFonts w:asciiTheme="minorEastAsia" w:hAnsiTheme="minorEastAsia"/>
                <w:kern w:val="0"/>
                <w:szCs w:val="21"/>
              </w:rPr>
              <w:t>Fu-Yong Jiao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7" w:type="dxa"/>
            <w:shd w:val="clear" w:color="auto" w:fill="auto"/>
            <w:vAlign w:val="center"/>
          </w:tcPr>
          <w:p>
            <w:pPr>
              <w:jc w:val="center"/>
              <w:rPr>
                <w:rFonts w:asciiTheme="minorEastAsia" w:hAnsiTheme="minorEastAsia"/>
                <w:kern w:val="0"/>
                <w:szCs w:val="21"/>
              </w:rPr>
            </w:pPr>
            <w:r>
              <w:rPr>
                <w:rFonts w:hint="eastAsia" w:asciiTheme="minorEastAsia" w:hAnsiTheme="minorEastAsia"/>
                <w:kern w:val="0"/>
                <w:szCs w:val="21"/>
              </w:rPr>
              <w:t>5</w:t>
            </w:r>
          </w:p>
        </w:tc>
        <w:tc>
          <w:tcPr>
            <w:tcW w:w="2835"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A Clinical Study of Kawasaki Disease in 225 Chinese Children</w:t>
            </w:r>
          </w:p>
        </w:tc>
        <w:tc>
          <w:tcPr>
            <w:tcW w:w="2268"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Malaysian Journal of Paediatrics and Child Health</w:t>
            </w:r>
          </w:p>
          <w:p>
            <w:pPr>
              <w:jc w:val="center"/>
              <w:rPr>
                <w:rFonts w:asciiTheme="minorEastAsia" w:hAnsiTheme="minorEastAsia"/>
                <w:kern w:val="0"/>
                <w:szCs w:val="21"/>
              </w:rPr>
            </w:pPr>
            <w:r>
              <w:rPr>
                <w:rFonts w:asciiTheme="minorEastAsia" w:hAnsiTheme="minorEastAsia"/>
                <w:kern w:val="0"/>
                <w:szCs w:val="21"/>
              </w:rPr>
              <w:t>2011年</w:t>
            </w:r>
            <w:r>
              <w:rPr>
                <w:rFonts w:hint="eastAsia" w:asciiTheme="minorEastAsia" w:hAnsiTheme="minorEastAsia"/>
                <w:kern w:val="0"/>
                <w:szCs w:val="21"/>
              </w:rPr>
              <w:t>17卷21-29页</w:t>
            </w:r>
          </w:p>
        </w:tc>
        <w:tc>
          <w:tcPr>
            <w:tcW w:w="2835"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Fu-Yong Jiao,</w:t>
            </w:r>
          </w:p>
          <w:p>
            <w:pPr>
              <w:jc w:val="center"/>
              <w:rPr>
                <w:rFonts w:asciiTheme="minorEastAsia" w:hAnsiTheme="minorEastAsia"/>
                <w:kern w:val="0"/>
                <w:szCs w:val="21"/>
              </w:rPr>
            </w:pPr>
            <w:r>
              <w:rPr>
                <w:rFonts w:asciiTheme="minorEastAsia" w:hAnsiTheme="minorEastAsia"/>
                <w:kern w:val="0"/>
                <w:szCs w:val="21"/>
              </w:rPr>
              <w:t>Yuxian Zhang,</w:t>
            </w:r>
          </w:p>
          <w:p>
            <w:pPr>
              <w:jc w:val="center"/>
              <w:rPr>
                <w:rFonts w:asciiTheme="minorEastAsia" w:hAnsiTheme="minorEastAsia"/>
                <w:kern w:val="0"/>
                <w:szCs w:val="21"/>
              </w:rPr>
            </w:pPr>
            <w:r>
              <w:rPr>
                <w:rFonts w:asciiTheme="minorEastAsia" w:hAnsiTheme="minorEastAsia"/>
                <w:kern w:val="0"/>
                <w:szCs w:val="21"/>
              </w:rPr>
              <w:t xml:space="preserve"> Jing Lin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7" w:type="dxa"/>
            <w:shd w:val="clear" w:color="auto" w:fill="auto"/>
            <w:vAlign w:val="center"/>
          </w:tcPr>
          <w:p>
            <w:pPr>
              <w:jc w:val="center"/>
              <w:rPr>
                <w:rFonts w:asciiTheme="minorEastAsia" w:hAnsiTheme="minorEastAsia"/>
                <w:kern w:val="0"/>
                <w:szCs w:val="21"/>
              </w:rPr>
            </w:pPr>
            <w:r>
              <w:rPr>
                <w:rFonts w:hint="eastAsia" w:asciiTheme="minorEastAsia" w:hAnsiTheme="minorEastAsia"/>
                <w:kern w:val="0"/>
                <w:szCs w:val="21"/>
              </w:rPr>
              <w:t>6</w:t>
            </w:r>
          </w:p>
        </w:tc>
        <w:tc>
          <w:tcPr>
            <w:tcW w:w="2835"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Clinical Study of 104 Cases with Kawasaki Disease</w:t>
            </w:r>
          </w:p>
        </w:tc>
        <w:tc>
          <w:tcPr>
            <w:tcW w:w="2268"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Pediatric Researc</w:t>
            </w:r>
            <w:r>
              <w:rPr>
                <w:rFonts w:hint="eastAsia" w:asciiTheme="minorEastAsia" w:hAnsiTheme="minorEastAsia"/>
                <w:kern w:val="0"/>
                <w:szCs w:val="21"/>
              </w:rPr>
              <w:t>h</w:t>
            </w:r>
          </w:p>
          <w:p>
            <w:pPr>
              <w:jc w:val="center"/>
              <w:rPr>
                <w:rFonts w:asciiTheme="minorEastAsia" w:hAnsiTheme="minorEastAsia"/>
                <w:kern w:val="0"/>
                <w:szCs w:val="21"/>
              </w:rPr>
            </w:pPr>
            <w:r>
              <w:rPr>
                <w:rFonts w:asciiTheme="minorEastAsia" w:hAnsiTheme="minorEastAsia"/>
                <w:kern w:val="0"/>
                <w:szCs w:val="21"/>
              </w:rPr>
              <w:t>2003年53卷176-177页</w:t>
            </w:r>
          </w:p>
        </w:tc>
        <w:tc>
          <w:tcPr>
            <w:tcW w:w="2835"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Fu-Yong Jiao</w:t>
            </w:r>
            <w:r>
              <w:rPr>
                <w:rFonts w:hint="eastAsia" w:asciiTheme="minorEastAsia" w:hAnsiTheme="minorEastAsia"/>
                <w:kern w:val="0"/>
                <w:szCs w:val="21"/>
              </w:rPr>
              <w:t>,</w:t>
            </w:r>
          </w:p>
          <w:p>
            <w:pPr>
              <w:jc w:val="center"/>
              <w:rPr>
                <w:rFonts w:asciiTheme="minorEastAsia" w:hAnsiTheme="minorEastAsia"/>
                <w:kern w:val="0"/>
                <w:szCs w:val="21"/>
              </w:rPr>
            </w:pPr>
            <w:r>
              <w:rPr>
                <w:rFonts w:asciiTheme="minorEastAsia" w:hAnsiTheme="minorEastAsia"/>
                <w:kern w:val="0"/>
                <w:szCs w:val="21"/>
              </w:rPr>
              <w:t xml:space="preserve"> Kai-Li</w:t>
            </w:r>
            <w:r>
              <w:rPr>
                <w:rFonts w:hint="eastAsia" w:asciiTheme="minorEastAsia" w:hAnsiTheme="minorEastAsia"/>
                <w:kern w:val="0"/>
                <w:szCs w:val="21"/>
              </w:rPr>
              <w:t>,</w:t>
            </w:r>
          </w:p>
          <w:p>
            <w:pPr>
              <w:jc w:val="center"/>
              <w:rPr>
                <w:rFonts w:asciiTheme="minorEastAsia" w:hAnsiTheme="minorEastAsia"/>
                <w:kern w:val="0"/>
                <w:szCs w:val="21"/>
              </w:rPr>
            </w:pPr>
            <w:r>
              <w:rPr>
                <w:rFonts w:asciiTheme="minorEastAsia" w:hAnsiTheme="minorEastAsia"/>
                <w:kern w:val="0"/>
                <w:szCs w:val="21"/>
              </w:rPr>
              <w:t>Pan Zhan-Kui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7" w:type="dxa"/>
            <w:shd w:val="clear" w:color="auto" w:fill="auto"/>
            <w:vAlign w:val="center"/>
          </w:tcPr>
          <w:p>
            <w:pPr>
              <w:jc w:val="center"/>
              <w:rPr>
                <w:rFonts w:asciiTheme="minorEastAsia" w:hAnsiTheme="minorEastAsia"/>
                <w:kern w:val="0"/>
                <w:szCs w:val="21"/>
              </w:rPr>
            </w:pPr>
            <w:r>
              <w:rPr>
                <w:rFonts w:hint="eastAsia" w:asciiTheme="minorEastAsia" w:hAnsiTheme="minorEastAsia"/>
                <w:kern w:val="0"/>
                <w:szCs w:val="21"/>
              </w:rPr>
              <w:t>7</w:t>
            </w:r>
          </w:p>
        </w:tc>
        <w:tc>
          <w:tcPr>
            <w:tcW w:w="2835"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Epidemiologic and clinical characteristics of Kawasaki disease in Shaanxi province, China,1993-1997</w:t>
            </w:r>
          </w:p>
        </w:tc>
        <w:tc>
          <w:tcPr>
            <w:tcW w:w="2268"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Journal of Tropical Pediatrics</w:t>
            </w:r>
          </w:p>
          <w:p>
            <w:pPr>
              <w:jc w:val="center"/>
              <w:rPr>
                <w:rFonts w:asciiTheme="minorEastAsia" w:hAnsiTheme="minorEastAsia"/>
                <w:kern w:val="0"/>
                <w:szCs w:val="21"/>
              </w:rPr>
            </w:pPr>
            <w:r>
              <w:rPr>
                <w:rFonts w:asciiTheme="minorEastAsia" w:hAnsiTheme="minorEastAsia"/>
                <w:kern w:val="0"/>
                <w:szCs w:val="21"/>
              </w:rPr>
              <w:t>2001年47卷54-56页</w:t>
            </w:r>
          </w:p>
        </w:tc>
        <w:tc>
          <w:tcPr>
            <w:tcW w:w="2835"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Fu-Yong Jiao,</w:t>
            </w:r>
          </w:p>
          <w:p>
            <w:pPr>
              <w:jc w:val="center"/>
              <w:rPr>
                <w:rFonts w:asciiTheme="minorEastAsia" w:hAnsiTheme="minorEastAsia"/>
                <w:kern w:val="0"/>
                <w:szCs w:val="21"/>
              </w:rPr>
            </w:pPr>
            <w:r>
              <w:rPr>
                <w:rFonts w:asciiTheme="minorEastAsia" w:hAnsiTheme="minorEastAsia"/>
                <w:kern w:val="0"/>
                <w:szCs w:val="21"/>
              </w:rPr>
              <w:t>L YangA,</w:t>
            </w:r>
          </w:p>
          <w:p>
            <w:pPr>
              <w:jc w:val="center"/>
              <w:rPr>
                <w:rFonts w:asciiTheme="minorEastAsia" w:hAnsiTheme="minorEastAsia"/>
                <w:kern w:val="0"/>
                <w:szCs w:val="21"/>
              </w:rPr>
            </w:pPr>
            <w:r>
              <w:rPr>
                <w:rFonts w:asciiTheme="minorEastAsia" w:hAnsiTheme="minorEastAsia"/>
                <w:kern w:val="0"/>
                <w:szCs w:val="21"/>
              </w:rPr>
              <w:t>Y LiA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7" w:type="dxa"/>
            <w:shd w:val="clear" w:color="auto" w:fill="auto"/>
            <w:vAlign w:val="center"/>
          </w:tcPr>
          <w:p>
            <w:pPr>
              <w:jc w:val="center"/>
              <w:rPr>
                <w:rFonts w:asciiTheme="minorEastAsia" w:hAnsiTheme="minorEastAsia"/>
                <w:kern w:val="0"/>
                <w:szCs w:val="21"/>
              </w:rPr>
            </w:pPr>
            <w:r>
              <w:rPr>
                <w:rFonts w:hint="eastAsia" w:asciiTheme="minorEastAsia" w:hAnsiTheme="minorEastAsia"/>
                <w:kern w:val="0"/>
                <w:szCs w:val="21"/>
              </w:rPr>
              <w:t>8</w:t>
            </w:r>
          </w:p>
        </w:tc>
        <w:tc>
          <w:tcPr>
            <w:tcW w:w="2835" w:type="dxa"/>
            <w:shd w:val="clear" w:color="auto" w:fill="auto"/>
            <w:vAlign w:val="center"/>
          </w:tcPr>
          <w:p>
            <w:pPr>
              <w:jc w:val="center"/>
              <w:rPr>
                <w:rFonts w:asciiTheme="minorEastAsia" w:hAnsiTheme="minorEastAsia"/>
                <w:color w:val="000000" w:themeColor="text1"/>
                <w:kern w:val="0"/>
                <w:szCs w:val="21"/>
                <w14:textFill>
                  <w14:solidFill>
                    <w14:schemeClr w14:val="tx1"/>
                  </w14:solidFill>
                </w14:textFill>
              </w:rPr>
            </w:pPr>
            <w:r>
              <w:rPr>
                <w:rFonts w:asciiTheme="minorEastAsia" w:hAnsiTheme="minorEastAsia"/>
                <w:color w:val="000000" w:themeColor="text1"/>
                <w:kern w:val="0"/>
                <w:szCs w:val="21"/>
                <w14:textFill>
                  <w14:solidFill>
                    <w14:schemeClr w14:val="tx1"/>
                  </w14:solidFill>
                </w14:textFill>
              </w:rPr>
              <w:t>Epidemiologic aspects of Kawasaki Disease in four Chinese provinces</w:t>
            </w:r>
          </w:p>
        </w:tc>
        <w:tc>
          <w:tcPr>
            <w:tcW w:w="2268"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Pediatric Researc</w:t>
            </w:r>
            <w:r>
              <w:rPr>
                <w:rFonts w:hint="eastAsia" w:asciiTheme="minorEastAsia" w:hAnsiTheme="minorEastAsia"/>
                <w:kern w:val="0"/>
                <w:szCs w:val="21"/>
              </w:rPr>
              <w:t>h</w:t>
            </w:r>
          </w:p>
          <w:p>
            <w:pPr>
              <w:jc w:val="center"/>
              <w:rPr>
                <w:rFonts w:asciiTheme="minorEastAsia" w:hAnsiTheme="minorEastAsia"/>
                <w:kern w:val="0"/>
                <w:szCs w:val="21"/>
              </w:rPr>
            </w:pPr>
            <w:r>
              <w:rPr>
                <w:rFonts w:asciiTheme="minorEastAsia" w:hAnsiTheme="minorEastAsia"/>
                <w:kern w:val="0"/>
                <w:szCs w:val="21"/>
              </w:rPr>
              <w:t>2003年53卷159-160页</w:t>
            </w:r>
          </w:p>
        </w:tc>
        <w:tc>
          <w:tcPr>
            <w:tcW w:w="2835"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TuohongZhang,</w:t>
            </w:r>
          </w:p>
          <w:p>
            <w:pPr>
              <w:jc w:val="center"/>
              <w:rPr>
                <w:rFonts w:asciiTheme="minorEastAsia" w:hAnsiTheme="minorEastAsia"/>
                <w:kern w:val="0"/>
                <w:szCs w:val="21"/>
              </w:rPr>
            </w:pPr>
            <w:r>
              <w:rPr>
                <w:rFonts w:asciiTheme="minorEastAsia" w:hAnsiTheme="minorEastAsia"/>
                <w:kern w:val="0"/>
                <w:szCs w:val="21"/>
              </w:rPr>
              <w:t>DaweiWang</w:t>
            </w:r>
            <w:r>
              <w:rPr>
                <w:rFonts w:hint="eastAsia" w:asciiTheme="minorEastAsia" w:hAnsiTheme="minorEastAsia"/>
                <w:kern w:val="0"/>
                <w:szCs w:val="21"/>
              </w:rPr>
              <w:t>,</w:t>
            </w:r>
          </w:p>
          <w:p>
            <w:pPr>
              <w:jc w:val="center"/>
              <w:rPr>
                <w:rFonts w:asciiTheme="minorEastAsia" w:hAnsiTheme="minorEastAsia"/>
                <w:kern w:val="0"/>
                <w:szCs w:val="21"/>
              </w:rPr>
            </w:pPr>
            <w:r>
              <w:rPr>
                <w:rFonts w:asciiTheme="minorEastAsia" w:hAnsiTheme="minorEastAsia"/>
                <w:kern w:val="0"/>
                <w:szCs w:val="21"/>
              </w:rPr>
              <w:t>Fu-Yong Jiao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3" w:hRule="atLeast"/>
          <w:jc w:val="center"/>
        </w:trPr>
        <w:tc>
          <w:tcPr>
            <w:tcW w:w="567" w:type="dxa"/>
            <w:shd w:val="clear" w:color="auto" w:fill="auto"/>
            <w:vAlign w:val="center"/>
          </w:tcPr>
          <w:p>
            <w:pPr>
              <w:jc w:val="center"/>
              <w:rPr>
                <w:rFonts w:asciiTheme="minorEastAsia" w:hAnsiTheme="minorEastAsia"/>
                <w:kern w:val="0"/>
                <w:szCs w:val="21"/>
              </w:rPr>
            </w:pPr>
            <w:r>
              <w:rPr>
                <w:rFonts w:hint="eastAsia" w:asciiTheme="minorEastAsia" w:hAnsiTheme="minorEastAsia"/>
                <w:kern w:val="0"/>
                <w:szCs w:val="21"/>
              </w:rPr>
              <w:t>9</w:t>
            </w:r>
          </w:p>
        </w:tc>
        <w:tc>
          <w:tcPr>
            <w:tcW w:w="2835"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 xml:space="preserve">The emergence of Kawasaki disease in India </w:t>
            </w:r>
            <w:r>
              <w:rPr>
                <w:rFonts w:hint="eastAsia" w:asciiTheme="minorEastAsia" w:hAnsiTheme="minorEastAsia"/>
                <w:kern w:val="0"/>
                <w:szCs w:val="21"/>
              </w:rPr>
              <w:t xml:space="preserve">and </w:t>
            </w:r>
            <w:r>
              <w:rPr>
                <w:rFonts w:asciiTheme="minorEastAsia" w:hAnsiTheme="minorEastAsia"/>
                <w:kern w:val="0"/>
                <w:szCs w:val="21"/>
              </w:rPr>
              <w:t>China</w:t>
            </w:r>
          </w:p>
        </w:tc>
        <w:tc>
          <w:tcPr>
            <w:tcW w:w="2268"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Global Cardiology Science&amp; Practice</w:t>
            </w:r>
          </w:p>
          <w:p>
            <w:pPr>
              <w:jc w:val="center"/>
              <w:rPr>
                <w:rFonts w:asciiTheme="minorEastAsia" w:hAnsiTheme="minorEastAsia"/>
                <w:kern w:val="0"/>
                <w:szCs w:val="21"/>
              </w:rPr>
            </w:pPr>
            <w:r>
              <w:rPr>
                <w:rFonts w:asciiTheme="minorEastAsia" w:hAnsiTheme="minorEastAsia"/>
                <w:kern w:val="0"/>
                <w:szCs w:val="21"/>
              </w:rPr>
              <w:t>2017年2017卷21-23页</w:t>
            </w:r>
          </w:p>
        </w:tc>
        <w:tc>
          <w:tcPr>
            <w:tcW w:w="2835"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Fu-YongJiao,</w:t>
            </w:r>
          </w:p>
          <w:p>
            <w:pPr>
              <w:jc w:val="center"/>
              <w:rPr>
                <w:rFonts w:asciiTheme="minorEastAsia" w:hAnsiTheme="minorEastAsia"/>
                <w:kern w:val="0"/>
                <w:szCs w:val="21"/>
              </w:rPr>
            </w:pPr>
            <w:r>
              <w:rPr>
                <w:rFonts w:asciiTheme="minorEastAsia" w:hAnsiTheme="minorEastAsia"/>
                <w:kern w:val="0"/>
                <w:szCs w:val="21"/>
              </w:rPr>
              <w:t>Ankur-Kumar jindal,</w:t>
            </w:r>
          </w:p>
          <w:p>
            <w:pPr>
              <w:jc w:val="center"/>
              <w:rPr>
                <w:rFonts w:asciiTheme="minorEastAsia" w:hAnsiTheme="minorEastAsia"/>
                <w:kern w:val="0"/>
                <w:szCs w:val="21"/>
              </w:rPr>
            </w:pPr>
            <w:r>
              <w:rPr>
                <w:rFonts w:asciiTheme="minorEastAsia" w:hAnsiTheme="minorEastAsia"/>
                <w:kern w:val="0"/>
                <w:szCs w:val="21"/>
              </w:rPr>
              <w:t>Vignesh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7" w:type="dxa"/>
            <w:shd w:val="clear" w:color="auto" w:fill="auto"/>
            <w:vAlign w:val="center"/>
          </w:tcPr>
          <w:p>
            <w:pPr>
              <w:jc w:val="center"/>
              <w:rPr>
                <w:rFonts w:asciiTheme="minorEastAsia" w:hAnsiTheme="minorEastAsia"/>
                <w:kern w:val="0"/>
                <w:szCs w:val="21"/>
              </w:rPr>
            </w:pPr>
            <w:r>
              <w:rPr>
                <w:rFonts w:hint="eastAsia" w:asciiTheme="minorEastAsia" w:hAnsiTheme="minorEastAsia"/>
                <w:kern w:val="0"/>
                <w:szCs w:val="21"/>
              </w:rPr>
              <w:t>10</w:t>
            </w:r>
          </w:p>
        </w:tc>
        <w:tc>
          <w:tcPr>
            <w:tcW w:w="2835"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Genome-Wide Association Study Identifies Novel Susceptibility Genes Associated with Coronary Artery Aneurysm Formation in Kawasaki Disease</w:t>
            </w:r>
          </w:p>
        </w:tc>
        <w:tc>
          <w:tcPr>
            <w:tcW w:w="2268"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PLoS One</w:t>
            </w:r>
          </w:p>
          <w:p>
            <w:pPr>
              <w:jc w:val="center"/>
              <w:rPr>
                <w:rFonts w:asciiTheme="minorEastAsia" w:hAnsiTheme="minorEastAsia"/>
                <w:kern w:val="0"/>
                <w:szCs w:val="21"/>
              </w:rPr>
            </w:pPr>
            <w:r>
              <w:rPr>
                <w:rFonts w:asciiTheme="minorEastAsia" w:hAnsiTheme="minorEastAsia"/>
                <w:kern w:val="0"/>
                <w:szCs w:val="21"/>
              </w:rPr>
              <w:t>2016年11卷,pp.e0154943</w:t>
            </w:r>
          </w:p>
        </w:tc>
        <w:tc>
          <w:tcPr>
            <w:tcW w:w="2835"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 xml:space="preserve">Kuo HC, </w:t>
            </w:r>
          </w:p>
          <w:p>
            <w:pPr>
              <w:jc w:val="center"/>
              <w:rPr>
                <w:rFonts w:asciiTheme="minorEastAsia" w:hAnsiTheme="minorEastAsia"/>
                <w:kern w:val="0"/>
                <w:szCs w:val="21"/>
              </w:rPr>
            </w:pPr>
            <w:r>
              <w:rPr>
                <w:rFonts w:asciiTheme="minorEastAsia" w:hAnsiTheme="minorEastAsia"/>
                <w:kern w:val="0"/>
                <w:szCs w:val="21"/>
              </w:rPr>
              <w:t xml:space="preserve">Li SC, </w:t>
            </w:r>
          </w:p>
          <w:p>
            <w:pPr>
              <w:jc w:val="center"/>
              <w:rPr>
                <w:rFonts w:asciiTheme="minorEastAsia" w:hAnsiTheme="minorEastAsia"/>
                <w:kern w:val="0"/>
                <w:szCs w:val="21"/>
              </w:rPr>
            </w:pPr>
            <w:r>
              <w:rPr>
                <w:rFonts w:asciiTheme="minorEastAsia" w:hAnsiTheme="minorEastAsia"/>
                <w:kern w:val="0"/>
                <w:szCs w:val="21"/>
              </w:rPr>
              <w:t>Jiao Fu- Yong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7" w:type="dxa"/>
            <w:shd w:val="clear" w:color="auto" w:fill="auto"/>
            <w:vAlign w:val="center"/>
          </w:tcPr>
          <w:p>
            <w:pPr>
              <w:jc w:val="center"/>
              <w:rPr>
                <w:rFonts w:asciiTheme="minorEastAsia" w:hAnsiTheme="minorEastAsia"/>
                <w:kern w:val="0"/>
                <w:szCs w:val="21"/>
              </w:rPr>
            </w:pPr>
            <w:r>
              <w:rPr>
                <w:rFonts w:hint="eastAsia" w:asciiTheme="minorEastAsia" w:hAnsiTheme="minorEastAsia"/>
                <w:kern w:val="0"/>
                <w:szCs w:val="21"/>
              </w:rPr>
              <w:t>11</w:t>
            </w:r>
          </w:p>
        </w:tc>
        <w:tc>
          <w:tcPr>
            <w:tcW w:w="2835"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陕西省川崎病</w:t>
            </w:r>
          </w:p>
          <w:p>
            <w:pPr>
              <w:jc w:val="center"/>
              <w:rPr>
                <w:rFonts w:asciiTheme="minorEastAsia" w:hAnsiTheme="minorEastAsia"/>
                <w:kern w:val="0"/>
                <w:szCs w:val="21"/>
              </w:rPr>
            </w:pPr>
            <w:r>
              <w:rPr>
                <w:rFonts w:asciiTheme="minorEastAsia" w:hAnsiTheme="minorEastAsia"/>
                <w:kern w:val="0"/>
                <w:szCs w:val="21"/>
              </w:rPr>
              <w:t>流行病学调查研究</w:t>
            </w:r>
          </w:p>
        </w:tc>
        <w:tc>
          <w:tcPr>
            <w:tcW w:w="2268"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中华流行病学杂志</w:t>
            </w:r>
          </w:p>
          <w:p>
            <w:pPr>
              <w:jc w:val="center"/>
              <w:rPr>
                <w:rFonts w:asciiTheme="minorEastAsia" w:hAnsiTheme="minorEastAsia"/>
                <w:kern w:val="0"/>
                <w:szCs w:val="21"/>
              </w:rPr>
            </w:pPr>
            <w:r>
              <w:rPr>
                <w:rFonts w:asciiTheme="minorEastAsia" w:hAnsiTheme="minorEastAsia"/>
                <w:kern w:val="0"/>
                <w:szCs w:val="21"/>
              </w:rPr>
              <w:t>2000年第21卷97-99页</w:t>
            </w:r>
          </w:p>
        </w:tc>
        <w:tc>
          <w:tcPr>
            <w:tcW w:w="2835"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焦富勇</w:t>
            </w:r>
            <w:r>
              <w:rPr>
                <w:rFonts w:hint="eastAsia" w:asciiTheme="minorEastAsia" w:hAnsiTheme="minorEastAsia"/>
                <w:kern w:val="0"/>
                <w:szCs w:val="21"/>
              </w:rPr>
              <w:t>,</w:t>
            </w:r>
            <w:r>
              <w:rPr>
                <w:rFonts w:asciiTheme="minorEastAsia" w:hAnsiTheme="minorEastAsia"/>
                <w:kern w:val="0"/>
                <w:szCs w:val="21"/>
              </w:rPr>
              <w:t>杨丽芳</w:t>
            </w:r>
            <w:r>
              <w:rPr>
                <w:rFonts w:hint="eastAsia" w:asciiTheme="minorEastAsia" w:hAnsiTheme="minorEastAsia"/>
                <w:kern w:val="0"/>
                <w:szCs w:val="21"/>
              </w:rPr>
              <w:t>,</w:t>
            </w:r>
            <w:r>
              <w:rPr>
                <w:rFonts w:asciiTheme="minorEastAsia" w:hAnsiTheme="minorEastAsia"/>
                <w:kern w:val="0"/>
                <w:szCs w:val="21"/>
              </w:rPr>
              <w:t>乔荆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7" w:hRule="atLeast"/>
          <w:jc w:val="center"/>
        </w:trPr>
        <w:tc>
          <w:tcPr>
            <w:tcW w:w="567" w:type="dxa"/>
            <w:shd w:val="clear" w:color="auto" w:fill="auto"/>
            <w:vAlign w:val="center"/>
          </w:tcPr>
          <w:p>
            <w:pPr>
              <w:jc w:val="center"/>
              <w:rPr>
                <w:rFonts w:asciiTheme="minorEastAsia" w:hAnsiTheme="minorEastAsia"/>
                <w:kern w:val="0"/>
                <w:szCs w:val="21"/>
              </w:rPr>
            </w:pPr>
            <w:r>
              <w:rPr>
                <w:rFonts w:hint="eastAsia" w:asciiTheme="minorEastAsia" w:hAnsiTheme="minorEastAsia"/>
                <w:kern w:val="0"/>
                <w:szCs w:val="21"/>
              </w:rPr>
              <w:t>12</w:t>
            </w:r>
          </w:p>
        </w:tc>
        <w:tc>
          <w:tcPr>
            <w:tcW w:w="2835" w:type="dxa"/>
            <w:shd w:val="clear" w:color="auto" w:fill="auto"/>
            <w:vAlign w:val="center"/>
          </w:tcPr>
          <w:p>
            <w:pPr>
              <w:jc w:val="center"/>
              <w:rPr>
                <w:rFonts w:asciiTheme="minorEastAsia" w:hAnsiTheme="minorEastAsia"/>
                <w:color w:val="000000" w:themeColor="text1"/>
                <w:kern w:val="0"/>
                <w:szCs w:val="21"/>
                <w14:textFill>
                  <w14:solidFill>
                    <w14:schemeClr w14:val="tx1"/>
                  </w14:solidFill>
                </w14:textFill>
              </w:rPr>
            </w:pPr>
            <w:r>
              <w:rPr>
                <w:rFonts w:asciiTheme="minorEastAsia" w:hAnsiTheme="minorEastAsia"/>
                <w:color w:val="000000" w:themeColor="text1"/>
                <w:kern w:val="0"/>
                <w:szCs w:val="21"/>
                <w14:textFill>
                  <w14:solidFill>
                    <w14:schemeClr w14:val="tx1"/>
                  </w14:solidFill>
                </w14:textFill>
              </w:rPr>
              <w:t>世界不同地区（国家）</w:t>
            </w:r>
          </w:p>
          <w:p>
            <w:pPr>
              <w:jc w:val="center"/>
              <w:rPr>
                <w:rFonts w:asciiTheme="minorEastAsia" w:hAnsiTheme="minorEastAsia"/>
                <w:kern w:val="0"/>
                <w:szCs w:val="21"/>
              </w:rPr>
            </w:pPr>
            <w:r>
              <w:rPr>
                <w:rFonts w:asciiTheme="minorEastAsia" w:hAnsiTheme="minorEastAsia"/>
                <w:color w:val="000000" w:themeColor="text1"/>
                <w:kern w:val="0"/>
                <w:szCs w:val="21"/>
                <w14:textFill>
                  <w14:solidFill>
                    <w14:schemeClr w14:val="tx1"/>
                  </w14:solidFill>
                </w14:textFill>
              </w:rPr>
              <w:t>川崎病的流行特征</w:t>
            </w:r>
          </w:p>
        </w:tc>
        <w:tc>
          <w:tcPr>
            <w:tcW w:w="2268"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中华流行病学杂志</w:t>
            </w:r>
          </w:p>
          <w:p>
            <w:pPr>
              <w:jc w:val="center"/>
              <w:rPr>
                <w:rFonts w:asciiTheme="minorEastAsia" w:hAnsiTheme="minorEastAsia"/>
                <w:kern w:val="0"/>
                <w:szCs w:val="21"/>
              </w:rPr>
            </w:pPr>
            <w:r>
              <w:rPr>
                <w:rFonts w:asciiTheme="minorEastAsia" w:hAnsiTheme="minorEastAsia"/>
                <w:kern w:val="0"/>
                <w:szCs w:val="21"/>
              </w:rPr>
              <w:t>1998年第19卷</w:t>
            </w:r>
          </w:p>
        </w:tc>
        <w:tc>
          <w:tcPr>
            <w:tcW w:w="2835"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焦富勇</w:t>
            </w:r>
            <w:r>
              <w:rPr>
                <w:rFonts w:hint="eastAsia" w:asciiTheme="minorEastAsia" w:hAnsiTheme="minorEastAsia"/>
                <w:kern w:val="0"/>
                <w:szCs w:val="21"/>
              </w:rPr>
              <w:t>,</w:t>
            </w:r>
            <w:r>
              <w:rPr>
                <w:rFonts w:asciiTheme="minorEastAsia" w:hAnsiTheme="minorEastAsia"/>
                <w:kern w:val="0"/>
                <w:szCs w:val="21"/>
              </w:rPr>
              <w:t>李华</w:t>
            </w:r>
            <w:r>
              <w:rPr>
                <w:rFonts w:hint="eastAsia" w:asciiTheme="minorEastAsia" w:hAnsiTheme="minorEastAsia"/>
                <w:kern w:val="0"/>
                <w:szCs w:val="21"/>
              </w:rPr>
              <w:t>,</w:t>
            </w:r>
            <w:r>
              <w:rPr>
                <w:rFonts w:asciiTheme="minorEastAsia" w:hAnsiTheme="minorEastAsia"/>
                <w:kern w:val="0"/>
                <w:szCs w:val="21"/>
              </w:rPr>
              <w:t>竹内东光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567" w:type="dxa"/>
            <w:shd w:val="clear" w:color="auto" w:fill="auto"/>
            <w:vAlign w:val="center"/>
          </w:tcPr>
          <w:p>
            <w:pPr>
              <w:jc w:val="center"/>
              <w:rPr>
                <w:rFonts w:asciiTheme="minorEastAsia" w:hAnsiTheme="minorEastAsia"/>
                <w:kern w:val="0"/>
                <w:szCs w:val="21"/>
              </w:rPr>
            </w:pPr>
            <w:r>
              <w:rPr>
                <w:rFonts w:hint="eastAsia" w:asciiTheme="minorEastAsia" w:hAnsiTheme="minorEastAsia"/>
                <w:kern w:val="0"/>
                <w:szCs w:val="21"/>
              </w:rPr>
              <w:t>13</w:t>
            </w:r>
          </w:p>
        </w:tc>
        <w:tc>
          <w:tcPr>
            <w:tcW w:w="2835"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川崎病治疗新进展</w:t>
            </w:r>
          </w:p>
        </w:tc>
        <w:tc>
          <w:tcPr>
            <w:tcW w:w="2268"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中国医药科学</w:t>
            </w:r>
          </w:p>
          <w:p>
            <w:pPr>
              <w:jc w:val="center"/>
              <w:rPr>
                <w:rFonts w:asciiTheme="minorEastAsia" w:hAnsiTheme="minorEastAsia"/>
                <w:kern w:val="0"/>
                <w:szCs w:val="21"/>
              </w:rPr>
            </w:pPr>
            <w:r>
              <w:rPr>
                <w:rFonts w:asciiTheme="minorEastAsia" w:hAnsiTheme="minorEastAsia"/>
                <w:kern w:val="0"/>
                <w:szCs w:val="21"/>
              </w:rPr>
              <w:t>2012年2卷9-11页</w:t>
            </w:r>
          </w:p>
        </w:tc>
        <w:tc>
          <w:tcPr>
            <w:tcW w:w="2835"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焦富勇,严晓华,蔺婧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jc w:val="center"/>
        </w:trPr>
        <w:tc>
          <w:tcPr>
            <w:tcW w:w="567"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1</w:t>
            </w:r>
            <w:r>
              <w:rPr>
                <w:rFonts w:hint="eastAsia" w:asciiTheme="minorEastAsia" w:hAnsiTheme="minorEastAsia"/>
                <w:kern w:val="0"/>
                <w:szCs w:val="21"/>
              </w:rPr>
              <w:t>4</w:t>
            </w:r>
          </w:p>
        </w:tc>
        <w:tc>
          <w:tcPr>
            <w:tcW w:w="2835"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儿童川崎病患者血浆和肽素，IL-17A，TNF-α检测与冠脉病变的相关性研究</w:t>
            </w:r>
          </w:p>
        </w:tc>
        <w:tc>
          <w:tcPr>
            <w:tcW w:w="2268"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现代检验医学杂志</w:t>
            </w:r>
          </w:p>
          <w:p>
            <w:pPr>
              <w:jc w:val="center"/>
              <w:rPr>
                <w:rFonts w:asciiTheme="minorEastAsia" w:hAnsiTheme="minorEastAsia"/>
                <w:kern w:val="0"/>
                <w:szCs w:val="21"/>
              </w:rPr>
            </w:pPr>
            <w:r>
              <w:rPr>
                <w:rFonts w:asciiTheme="minorEastAsia" w:hAnsiTheme="minorEastAsia"/>
                <w:kern w:val="0"/>
                <w:szCs w:val="21"/>
              </w:rPr>
              <w:t>2017年32卷50-52页</w:t>
            </w:r>
          </w:p>
        </w:tc>
        <w:tc>
          <w:tcPr>
            <w:tcW w:w="2835"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严晓华</w:t>
            </w:r>
            <w:r>
              <w:rPr>
                <w:rFonts w:hint="eastAsia" w:asciiTheme="minorEastAsia" w:hAnsiTheme="minorEastAsia"/>
                <w:kern w:val="0"/>
                <w:szCs w:val="21"/>
              </w:rPr>
              <w:t>,</w:t>
            </w:r>
            <w:r>
              <w:rPr>
                <w:rFonts w:asciiTheme="minorEastAsia" w:hAnsiTheme="minorEastAsia"/>
                <w:kern w:val="0"/>
                <w:szCs w:val="21"/>
              </w:rPr>
              <w:t>白涛敏</w:t>
            </w:r>
            <w:r>
              <w:rPr>
                <w:rFonts w:hint="eastAsia" w:asciiTheme="minorEastAsia" w:hAnsiTheme="minorEastAsia"/>
                <w:kern w:val="0"/>
                <w:szCs w:val="21"/>
              </w:rPr>
              <w:t>,</w:t>
            </w:r>
            <w:r>
              <w:rPr>
                <w:rFonts w:asciiTheme="minorEastAsia" w:hAnsiTheme="minorEastAsia"/>
                <w:kern w:val="0"/>
                <w:szCs w:val="21"/>
              </w:rPr>
              <w:t>马娟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jc w:val="center"/>
        </w:trPr>
        <w:tc>
          <w:tcPr>
            <w:tcW w:w="567"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1</w:t>
            </w:r>
            <w:r>
              <w:rPr>
                <w:rFonts w:hint="eastAsia" w:asciiTheme="minorEastAsia" w:hAnsiTheme="minorEastAsia"/>
                <w:kern w:val="0"/>
                <w:szCs w:val="21"/>
              </w:rPr>
              <w:t>5</w:t>
            </w:r>
          </w:p>
        </w:tc>
        <w:tc>
          <w:tcPr>
            <w:tcW w:w="2835"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170例儿童川崎病临床分析</w:t>
            </w:r>
          </w:p>
        </w:tc>
        <w:tc>
          <w:tcPr>
            <w:tcW w:w="2268"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昆明医科大学学报</w:t>
            </w:r>
          </w:p>
          <w:p>
            <w:pPr>
              <w:jc w:val="center"/>
              <w:rPr>
                <w:rFonts w:asciiTheme="minorEastAsia" w:hAnsiTheme="minorEastAsia"/>
                <w:kern w:val="0"/>
                <w:szCs w:val="21"/>
              </w:rPr>
            </w:pPr>
            <w:r>
              <w:rPr>
                <w:rFonts w:asciiTheme="minorEastAsia" w:hAnsiTheme="minorEastAsia"/>
                <w:kern w:val="0"/>
                <w:szCs w:val="21"/>
              </w:rPr>
              <w:t>2015年36卷121-124页</w:t>
            </w:r>
          </w:p>
        </w:tc>
        <w:tc>
          <w:tcPr>
            <w:tcW w:w="2835"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严晓华,高娜,周南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jc w:val="center"/>
        </w:trPr>
        <w:tc>
          <w:tcPr>
            <w:tcW w:w="567" w:type="dxa"/>
            <w:shd w:val="clear" w:color="auto" w:fill="auto"/>
            <w:vAlign w:val="center"/>
          </w:tcPr>
          <w:p>
            <w:pPr>
              <w:jc w:val="center"/>
              <w:rPr>
                <w:rFonts w:asciiTheme="minorEastAsia" w:hAnsiTheme="minorEastAsia"/>
                <w:kern w:val="0"/>
                <w:szCs w:val="21"/>
              </w:rPr>
            </w:pPr>
            <w:r>
              <w:rPr>
                <w:rFonts w:hint="eastAsia" w:asciiTheme="minorEastAsia" w:hAnsiTheme="minorEastAsia"/>
                <w:kern w:val="0"/>
                <w:szCs w:val="21"/>
              </w:rPr>
              <w:t>16</w:t>
            </w:r>
          </w:p>
        </w:tc>
        <w:tc>
          <w:tcPr>
            <w:tcW w:w="2835"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静脉滴注免疫球蛋白对川崎病患儿免疫功能的影响</w:t>
            </w:r>
          </w:p>
        </w:tc>
        <w:tc>
          <w:tcPr>
            <w:tcW w:w="2268"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中国综合临床</w:t>
            </w:r>
          </w:p>
          <w:p>
            <w:pPr>
              <w:jc w:val="center"/>
              <w:rPr>
                <w:rFonts w:asciiTheme="minorEastAsia" w:hAnsiTheme="minorEastAsia"/>
                <w:kern w:val="0"/>
                <w:szCs w:val="21"/>
              </w:rPr>
            </w:pPr>
            <w:r>
              <w:rPr>
                <w:rFonts w:asciiTheme="minorEastAsia" w:hAnsiTheme="minorEastAsia"/>
                <w:kern w:val="0"/>
                <w:szCs w:val="21"/>
              </w:rPr>
              <w:t>2004年20卷265-266页</w:t>
            </w:r>
          </w:p>
        </w:tc>
        <w:tc>
          <w:tcPr>
            <w:tcW w:w="2835"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杨丽芳</w:t>
            </w:r>
            <w:r>
              <w:rPr>
                <w:rFonts w:hint="eastAsia" w:asciiTheme="minorEastAsia" w:hAnsiTheme="minorEastAsia"/>
                <w:kern w:val="0"/>
                <w:szCs w:val="21"/>
              </w:rPr>
              <w:t>,</w:t>
            </w:r>
            <w:r>
              <w:rPr>
                <w:rFonts w:asciiTheme="minorEastAsia" w:hAnsiTheme="minorEastAsia"/>
                <w:kern w:val="0"/>
                <w:szCs w:val="21"/>
              </w:rPr>
              <w:t>乔荆</w:t>
            </w:r>
            <w:r>
              <w:rPr>
                <w:rFonts w:hint="eastAsia" w:asciiTheme="minorEastAsia" w:hAnsiTheme="minorEastAsia"/>
                <w:kern w:val="0"/>
                <w:szCs w:val="21"/>
              </w:rPr>
              <w:t>,</w:t>
            </w:r>
            <w:r>
              <w:rPr>
                <w:rFonts w:asciiTheme="minorEastAsia" w:hAnsiTheme="minorEastAsia"/>
                <w:kern w:val="0"/>
                <w:szCs w:val="21"/>
              </w:rPr>
              <w:t>焦富勇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jc w:val="center"/>
        </w:trPr>
        <w:tc>
          <w:tcPr>
            <w:tcW w:w="567"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1</w:t>
            </w:r>
            <w:r>
              <w:rPr>
                <w:rFonts w:hint="eastAsia" w:asciiTheme="minorEastAsia" w:hAnsiTheme="minorEastAsia"/>
                <w:kern w:val="0"/>
                <w:szCs w:val="21"/>
              </w:rPr>
              <w:t>7</w:t>
            </w:r>
          </w:p>
        </w:tc>
        <w:tc>
          <w:tcPr>
            <w:tcW w:w="2835"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川崎病患儿46例优质化护理研究</w:t>
            </w:r>
          </w:p>
        </w:tc>
        <w:tc>
          <w:tcPr>
            <w:tcW w:w="2268"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陕西医学杂志</w:t>
            </w:r>
          </w:p>
          <w:p>
            <w:pPr>
              <w:jc w:val="center"/>
              <w:rPr>
                <w:rFonts w:asciiTheme="minorEastAsia" w:hAnsiTheme="minorEastAsia"/>
                <w:kern w:val="0"/>
                <w:szCs w:val="21"/>
              </w:rPr>
            </w:pPr>
            <w:r>
              <w:rPr>
                <w:rFonts w:asciiTheme="minorEastAsia" w:hAnsiTheme="minorEastAsia"/>
                <w:kern w:val="0"/>
                <w:szCs w:val="21"/>
              </w:rPr>
              <w:t>2015年4期512-513页</w:t>
            </w:r>
          </w:p>
        </w:tc>
        <w:tc>
          <w:tcPr>
            <w:tcW w:w="2835"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牛倩</w:t>
            </w:r>
            <w:r>
              <w:rPr>
                <w:rFonts w:hint="eastAsia" w:asciiTheme="minorEastAsia" w:hAnsiTheme="minorEastAsia"/>
                <w:kern w:val="0"/>
                <w:szCs w:val="21"/>
              </w:rPr>
              <w:t>,</w:t>
            </w:r>
            <w:r>
              <w:rPr>
                <w:rFonts w:asciiTheme="minorEastAsia" w:hAnsiTheme="minorEastAsia"/>
                <w:kern w:val="0"/>
                <w:szCs w:val="21"/>
              </w:rPr>
              <w:t>赵小燕</w:t>
            </w:r>
            <w:r>
              <w:rPr>
                <w:rFonts w:hint="eastAsia" w:asciiTheme="minorEastAsia" w:hAnsiTheme="minorEastAsia"/>
                <w:kern w:val="0"/>
                <w:szCs w:val="21"/>
              </w:rPr>
              <w:t>,</w:t>
            </w:r>
            <w:r>
              <w:rPr>
                <w:rFonts w:asciiTheme="minorEastAsia" w:hAnsiTheme="minorEastAsia"/>
                <w:kern w:val="0"/>
                <w:szCs w:val="21"/>
              </w:rPr>
              <w:t>王婧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7"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18</w:t>
            </w:r>
          </w:p>
        </w:tc>
        <w:tc>
          <w:tcPr>
            <w:tcW w:w="2835"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川崎病</w:t>
            </w:r>
          </w:p>
        </w:tc>
        <w:tc>
          <w:tcPr>
            <w:tcW w:w="2268"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人民卫生出版社</w:t>
            </w:r>
          </w:p>
          <w:p>
            <w:pPr>
              <w:jc w:val="center"/>
              <w:rPr>
                <w:rFonts w:asciiTheme="minorEastAsia" w:hAnsiTheme="minorEastAsia"/>
                <w:kern w:val="0"/>
                <w:szCs w:val="21"/>
              </w:rPr>
            </w:pPr>
            <w:r>
              <w:rPr>
                <w:rFonts w:asciiTheme="minorEastAsia" w:hAnsiTheme="minorEastAsia"/>
                <w:kern w:val="0"/>
                <w:szCs w:val="21"/>
              </w:rPr>
              <w:t>2014年1月</w:t>
            </w:r>
          </w:p>
        </w:tc>
        <w:tc>
          <w:tcPr>
            <w:tcW w:w="2835"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焦富勇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7" w:type="dxa"/>
            <w:shd w:val="clear" w:color="auto" w:fill="auto"/>
            <w:vAlign w:val="center"/>
          </w:tcPr>
          <w:p>
            <w:pPr>
              <w:jc w:val="center"/>
              <w:rPr>
                <w:rFonts w:asciiTheme="minorEastAsia" w:hAnsiTheme="minorEastAsia"/>
                <w:kern w:val="0"/>
                <w:szCs w:val="21"/>
              </w:rPr>
            </w:pPr>
            <w:r>
              <w:rPr>
                <w:rFonts w:asciiTheme="minorEastAsia" w:hAnsiTheme="minorEastAsia"/>
                <w:kern w:val="0"/>
                <w:szCs w:val="21"/>
              </w:rPr>
              <w:t>19</w:t>
            </w:r>
          </w:p>
        </w:tc>
        <w:tc>
          <w:tcPr>
            <w:tcW w:w="2835" w:type="dxa"/>
            <w:shd w:val="clear" w:color="auto" w:fill="auto"/>
            <w:vAlign w:val="center"/>
          </w:tcPr>
          <w:p>
            <w:pPr>
              <w:jc w:val="center"/>
              <w:rPr>
                <w:rFonts w:asciiTheme="minorEastAsia" w:hAnsiTheme="minorEastAsia"/>
                <w:kern w:val="0"/>
                <w:szCs w:val="21"/>
              </w:rPr>
            </w:pPr>
            <w:r>
              <w:rPr>
                <w:rFonts w:hint="eastAsia" w:asciiTheme="minorEastAsia" w:hAnsiTheme="minorEastAsia"/>
                <w:kern w:val="0"/>
                <w:szCs w:val="21"/>
              </w:rPr>
              <w:t>内皮抑素和avastin对小鼠脉络膜新生血管抑制作用的比较观察</w:t>
            </w:r>
          </w:p>
        </w:tc>
        <w:tc>
          <w:tcPr>
            <w:tcW w:w="2268" w:type="dxa"/>
            <w:shd w:val="clear" w:color="auto" w:fill="auto"/>
            <w:vAlign w:val="center"/>
          </w:tcPr>
          <w:p>
            <w:pPr>
              <w:jc w:val="center"/>
              <w:rPr>
                <w:rFonts w:asciiTheme="minorEastAsia" w:hAnsiTheme="minorEastAsia"/>
                <w:kern w:val="0"/>
                <w:szCs w:val="21"/>
              </w:rPr>
            </w:pPr>
            <w:r>
              <w:rPr>
                <w:rFonts w:hint="eastAsia" w:asciiTheme="minorEastAsia" w:hAnsiTheme="minorEastAsia"/>
                <w:kern w:val="0"/>
                <w:szCs w:val="21"/>
              </w:rPr>
              <w:t>国际眼科学杂志</w:t>
            </w:r>
          </w:p>
          <w:p>
            <w:pPr>
              <w:jc w:val="center"/>
              <w:rPr>
                <w:rFonts w:asciiTheme="minorEastAsia" w:hAnsiTheme="minorEastAsia"/>
                <w:kern w:val="0"/>
                <w:szCs w:val="21"/>
              </w:rPr>
            </w:pPr>
            <w:r>
              <w:rPr>
                <w:rFonts w:hint="eastAsia" w:asciiTheme="minorEastAsia" w:hAnsiTheme="minorEastAsia"/>
                <w:kern w:val="0"/>
                <w:szCs w:val="21"/>
              </w:rPr>
              <w:t>2014年6月</w:t>
            </w:r>
          </w:p>
        </w:tc>
        <w:tc>
          <w:tcPr>
            <w:tcW w:w="2835" w:type="dxa"/>
            <w:shd w:val="clear" w:color="auto" w:fill="auto"/>
            <w:vAlign w:val="center"/>
          </w:tcPr>
          <w:p>
            <w:pPr>
              <w:jc w:val="center"/>
              <w:rPr>
                <w:rFonts w:asciiTheme="minorEastAsia" w:hAnsiTheme="minorEastAsia"/>
                <w:kern w:val="0"/>
                <w:szCs w:val="21"/>
              </w:rPr>
            </w:pPr>
            <w:r>
              <w:rPr>
                <w:rFonts w:hint="eastAsia" w:asciiTheme="minorEastAsia" w:hAnsiTheme="minorEastAsia"/>
                <w:kern w:val="0"/>
                <w:szCs w:val="21"/>
              </w:rPr>
              <w:t>李静,马勇,王红美</w:t>
            </w:r>
          </w:p>
        </w:tc>
      </w:tr>
    </w:tbl>
    <w:p>
      <w:pPr>
        <w:spacing w:line="360" w:lineRule="auto"/>
        <w:rPr>
          <w:rFonts w:asciiTheme="minorEastAsia" w:hAnsiTheme="minorEastAsia"/>
          <w:b/>
          <w:sz w:val="24"/>
          <w:szCs w:val="24"/>
        </w:rPr>
      </w:pPr>
      <w:r>
        <w:rPr>
          <w:rFonts w:hint="eastAsia" w:asciiTheme="minorEastAsia" w:hAnsiTheme="minorEastAsia"/>
          <w:b/>
          <w:sz w:val="24"/>
          <w:szCs w:val="24"/>
        </w:rPr>
        <w:t>5 完成人合作关系：</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焦富勇：自从1993年至今致力于川崎病的诊治。收集国内外有关该病的诊治信息，分析和设计了川崎病的基础和临床治疗研究。采用“三个五”诊断模式，心脏超声诊断川崎病冠状动脉损伤，口服阿司匹林、双嘧达莫、华法令，静脉输注大剂量丙种球蛋白（IVIG），甲基泼尼松龙冲击及中药治疗川崎病冠状动脉损伤。取得了显著疗效。建立了我国唯一的中国川崎病网站</w:t>
      </w:r>
      <w:r>
        <w:fldChar w:fldCharType="begin"/>
      </w:r>
      <w:r>
        <w:instrText xml:space="preserve"> HYPERLINK "http://www.chinakd.org" </w:instrText>
      </w:r>
      <w:r>
        <w:fldChar w:fldCharType="separate"/>
      </w:r>
      <w:r>
        <w:rPr>
          <w:rFonts w:hint="eastAsia" w:ascii="宋体" w:hAnsi="宋体" w:eastAsia="宋体"/>
          <w:bCs/>
          <w:color w:val="000000"/>
        </w:rPr>
        <w:t>www.chinakd.org</w:t>
      </w:r>
      <w:r>
        <w:rPr>
          <w:rFonts w:hint="eastAsia" w:ascii="宋体" w:hAnsi="宋体" w:eastAsia="宋体"/>
          <w:bCs/>
          <w:color w:val="000000"/>
        </w:rPr>
        <w:fldChar w:fldCharType="end"/>
      </w:r>
      <w:r>
        <w:rPr>
          <w:rFonts w:hint="eastAsia" w:ascii="宋体" w:hAnsi="宋体" w:eastAsia="宋体"/>
          <w:bCs/>
          <w:color w:val="000000"/>
        </w:rPr>
        <w:t>，组织、指导申报了</w:t>
      </w:r>
      <w:r>
        <w:rPr>
          <w:rFonts w:hint="eastAsia" w:ascii="宋体" w:hAnsi="宋体" w:eastAsia="宋体" w:cs="宋体"/>
          <w:bCs/>
          <w:color w:val="000000"/>
          <w:szCs w:val="24"/>
        </w:rPr>
        <w:t>全省唯一的川崎病诊疗中心（2015年由陕西省卫建委批准在我院建立），陕西省儿内科疾病诊疗中心（2016年在我院建立，并于2018年成立了全省9个分中心）。发表川崎病相关论文18余篇，其中SCI收录10篇，出版川崎病及川崎病科普书籍2部，举办次国际会议，川崎病专题讲座20余次，培养研究生2名。</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 xml:space="preserve">严晓华：负责本项目的实施、质控及统计分析。主持并完成陕西省科技厅社会发展领域课题1项，开展双源CT评估严重冠脉损害（如：冠脉瘤等）等评估手段以优化川崎病的诊断，以第一作者发表SCI文章1篇，国内期刊论文2篇，第二作者国内期刊1篇。 </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 xml:space="preserve">高娜：负责本项目病例收集及统计分析。发表国内期刊论文1篇。 </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牛倩：负责本项目病例收集、随访、疗效评估。以第一作者完成国内期刊论文1篇。</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 xml:space="preserve">焦文燕：负责项目实施及统计分析。与焦富勇主任合著《川崎病》一书。 </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 xml:space="preserve">穆志龙：负责本项目病例收集，随访质控。与焦富勇主任合作完成SCI文章1篇。 </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张西嫔：负责本项目资料管理、病人健康教育、随访质控。与焦富勇主任合著《川崎病》一书。</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李静：主要完成本项目文献参考，病例收集及数据分析工作。发表国内期刊论文1篇。</w:t>
      </w:r>
    </w:p>
    <w:p>
      <w:pPr>
        <w:pStyle w:val="2"/>
        <w:widowControl/>
        <w:spacing w:before="0" w:beforeAutospacing="0" w:after="0" w:afterAutospacing="0"/>
        <w:ind w:firstLine="480" w:firstLineChars="200"/>
        <w:rPr>
          <w:rFonts w:ascii="宋体" w:hAnsi="宋体" w:eastAsia="宋体" w:cs="宋体"/>
          <w:bCs/>
          <w:color w:val="000000"/>
          <w:szCs w:val="24"/>
        </w:rPr>
      </w:pPr>
      <w:r>
        <w:rPr>
          <w:rFonts w:hint="eastAsia" w:ascii="宋体" w:hAnsi="宋体" w:eastAsia="宋体" w:cs="宋体"/>
          <w:bCs/>
          <w:color w:val="000000"/>
          <w:szCs w:val="24"/>
        </w:rPr>
        <w:t>王杰民：参与项目实施及统计分析。参与完成SCI论文1篇。</w:t>
      </w:r>
    </w:p>
    <w:p>
      <w:pPr>
        <w:spacing w:line="360" w:lineRule="auto"/>
        <w:rPr>
          <w:rFonts w:asciiTheme="minorEastAsia" w:hAnsiTheme="minorEastAsia"/>
          <w:b/>
          <w:sz w:val="24"/>
          <w:szCs w:val="24"/>
        </w:rPr>
      </w:pPr>
      <w:r>
        <w:rPr>
          <w:rFonts w:hint="eastAsia" w:asciiTheme="minorEastAsia" w:hAnsiTheme="minorEastAsia"/>
          <w:b/>
          <w:sz w:val="24"/>
          <w:szCs w:val="24"/>
        </w:rPr>
        <w:t>6 提名者：</w:t>
      </w:r>
    </w:p>
    <w:p>
      <w:pPr>
        <w:spacing w:line="360" w:lineRule="auto"/>
        <w:ind w:firstLine="480" w:firstLineChars="200"/>
        <w:rPr>
          <w:sz w:val="24"/>
          <w:szCs w:val="24"/>
        </w:rPr>
      </w:pPr>
      <w:r>
        <w:rPr>
          <w:rFonts w:hint="eastAsia"/>
          <w:sz w:val="24"/>
          <w:szCs w:val="24"/>
        </w:rPr>
        <w:t>陕西省卫生健康委员会</w:t>
      </w:r>
    </w:p>
    <w:p>
      <w:r>
        <w:rPr>
          <w:rFonts w:hint="eastAsia"/>
          <w:sz w:val="24"/>
          <w:szCs w:val="24"/>
          <w:lang w:val="en-US" w:eastAsia="zh-CN"/>
        </w:rPr>
        <w:t>提名意见：</w:t>
      </w:r>
      <w:r>
        <w:rPr>
          <w:rFonts w:hint="eastAsia"/>
          <w:sz w:val="24"/>
          <w:szCs w:val="24"/>
        </w:rPr>
        <w:t>拟提名陕西省科学技术进步奖</w:t>
      </w:r>
      <w:r>
        <w:rPr>
          <w:rFonts w:hint="eastAsia"/>
          <w:sz w:val="24"/>
          <w:szCs w:val="24"/>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95A436D"/>
    <w:rsid w:val="6B2606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nhideWhenUsed/>
    <w:qFormat/>
    <w:uiPriority w:val="99"/>
    <w:pPr>
      <w:spacing w:before="100" w:beforeAutospacing="1" w:after="100"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37046</dc:creator>
  <cp:lastModifiedBy>37046</cp:lastModifiedBy>
  <dcterms:modified xsi:type="dcterms:W3CDTF">2019-06-27T16:19:01Z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