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EastAsia" w:hAnsiTheme="minorEastAsia"/>
          <w:b/>
          <w:sz w:val="28"/>
          <w:szCs w:val="28"/>
        </w:rPr>
      </w:pPr>
      <w:r>
        <w:rPr>
          <w:rFonts w:hint="eastAsia" w:asciiTheme="minorEastAsia" w:hAnsiTheme="minorEastAsia"/>
          <w:b/>
          <w:sz w:val="28"/>
          <w:szCs w:val="28"/>
        </w:rPr>
        <w:t>项目</w:t>
      </w:r>
      <w:r>
        <w:rPr>
          <w:rFonts w:hint="eastAsia" w:asciiTheme="minorEastAsia" w:hAnsiTheme="minorEastAsia"/>
          <w:b/>
          <w:sz w:val="28"/>
          <w:szCs w:val="28"/>
          <w:lang w:val="en-US" w:eastAsia="zh-CN"/>
        </w:rPr>
        <w:t>名称</w:t>
      </w:r>
      <w:bookmarkStart w:id="0" w:name="_GoBack"/>
      <w:bookmarkEnd w:id="0"/>
      <w:r>
        <w:rPr>
          <w:rFonts w:hint="eastAsia" w:asciiTheme="minorEastAsia" w:hAnsiTheme="minorEastAsia"/>
          <w:b/>
          <w:sz w:val="28"/>
          <w:szCs w:val="28"/>
        </w:rPr>
        <w:t>：医用器材“三方六向”生态构建与“第四方物流”研究及应用产业化</w:t>
      </w:r>
    </w:p>
    <w:p>
      <w:pPr>
        <w:spacing w:line="360" w:lineRule="auto"/>
        <w:rPr>
          <w:rFonts w:asciiTheme="minorEastAsia" w:hAnsiTheme="minorEastAsia"/>
          <w:b/>
          <w:sz w:val="24"/>
          <w:szCs w:val="24"/>
        </w:rPr>
      </w:pPr>
      <w:r>
        <w:rPr>
          <w:rFonts w:hint="eastAsia" w:asciiTheme="minorEastAsia" w:hAnsiTheme="minorEastAsia"/>
          <w:b/>
          <w:sz w:val="24"/>
          <w:szCs w:val="24"/>
        </w:rPr>
        <w:t>1 主要完成单位及创新推广贡献：</w:t>
      </w:r>
    </w:p>
    <w:tbl>
      <w:tblPr>
        <w:tblStyle w:val="4"/>
        <w:tblW w:w="88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12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主要完成单位</w:t>
            </w:r>
          </w:p>
        </w:tc>
        <w:tc>
          <w:tcPr>
            <w:tcW w:w="6741" w:type="dxa"/>
          </w:tcPr>
          <w:p>
            <w:pPr>
              <w:adjustRightInd w:val="0"/>
              <w:snapToGrid w:val="0"/>
              <w:spacing w:line="276" w:lineRule="auto"/>
              <w:rPr>
                <w:rFonts w:asciiTheme="minorEastAsia" w:hAnsiTheme="minorEastAsia"/>
                <w:bCs/>
                <w:szCs w:val="21"/>
              </w:rPr>
            </w:pPr>
            <w:r>
              <w:rPr>
                <w:rFonts w:hint="eastAsia" w:asciiTheme="minorEastAsia" w:hAnsiTheme="minorEastAsia"/>
                <w:bCs/>
                <w:szCs w:val="21"/>
              </w:rPr>
              <w:t>1.陕西省人民医院</w:t>
            </w:r>
          </w:p>
          <w:p>
            <w:pPr>
              <w:adjustRightInd w:val="0"/>
              <w:snapToGrid w:val="0"/>
              <w:spacing w:line="276" w:lineRule="auto"/>
              <w:rPr>
                <w:rFonts w:asciiTheme="minorEastAsia" w:hAnsiTheme="minorEastAsia"/>
                <w:bCs/>
                <w:szCs w:val="21"/>
              </w:rPr>
            </w:pPr>
            <w:r>
              <w:rPr>
                <w:rFonts w:hint="eastAsia" w:asciiTheme="minorEastAsia" w:hAnsiTheme="minorEastAsia"/>
                <w:bCs/>
                <w:szCs w:val="21"/>
              </w:rPr>
              <w:t>2.天网软件股份有限公司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5" w:type="dxa"/>
            <w:vAlign w:val="center"/>
          </w:tcPr>
          <w:p>
            <w:pPr>
              <w:adjustRightInd w:val="0"/>
              <w:snapToGrid w:val="0"/>
              <w:spacing w:line="276" w:lineRule="auto"/>
              <w:jc w:val="center"/>
              <w:rPr>
                <w:rFonts w:asciiTheme="minorEastAsia" w:hAnsiTheme="minorEastAsia"/>
                <w:bCs/>
                <w:szCs w:val="21"/>
              </w:rPr>
            </w:pPr>
            <w:r>
              <w:rPr>
                <w:rFonts w:hint="eastAsia" w:cs="宋体" w:asciiTheme="minorEastAsia" w:hAnsiTheme="minorEastAsia"/>
                <w:bCs/>
                <w:color w:val="000000"/>
                <w:szCs w:val="21"/>
              </w:rPr>
              <w:t>创新推广贡献</w:t>
            </w:r>
          </w:p>
        </w:tc>
        <w:tc>
          <w:tcPr>
            <w:tcW w:w="6741" w:type="dxa"/>
          </w:tcPr>
          <w:p>
            <w:pPr>
              <w:pStyle w:val="6"/>
              <w:widowControl/>
              <w:adjustRightInd w:val="0"/>
              <w:snapToGrid w:val="0"/>
              <w:spacing w:line="360" w:lineRule="auto"/>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1.健康中国战略及新医改下医药供应保障改革政策研究。</w:t>
            </w:r>
          </w:p>
          <w:p>
            <w:pPr>
              <w:pStyle w:val="6"/>
              <w:widowControl/>
              <w:adjustRightInd w:val="0"/>
              <w:snapToGrid w:val="0"/>
              <w:spacing w:line="360" w:lineRule="auto"/>
              <w:ind w:firstLine="0" w:firstLineChars="0"/>
              <w:jc w:val="left"/>
              <w:rPr>
                <w:rFonts w:cs="宋体" w:asciiTheme="minorEastAsia" w:hAnsiTheme="minorEastAsia"/>
                <w:color w:val="000000"/>
                <w:kern w:val="0"/>
                <w:szCs w:val="21"/>
              </w:rPr>
            </w:pPr>
            <w:r>
              <w:rPr>
                <w:rFonts w:hint="eastAsia" w:asciiTheme="minorEastAsia" w:hAnsiTheme="minorEastAsia"/>
                <w:bCs/>
                <w:szCs w:val="21"/>
              </w:rPr>
              <w:t>2.“两票制”背景下的医用器材“三方六向”生态理论构建。</w:t>
            </w:r>
          </w:p>
          <w:p>
            <w:pPr>
              <w:pStyle w:val="6"/>
              <w:widowControl/>
              <w:adjustRightInd w:val="0"/>
              <w:snapToGrid w:val="0"/>
              <w:spacing w:line="360" w:lineRule="auto"/>
              <w:ind w:firstLine="0" w:firstLineChars="0"/>
              <w:jc w:val="left"/>
              <w:rPr>
                <w:rFonts w:cs="宋体" w:asciiTheme="minorEastAsia" w:hAnsiTheme="minorEastAsia"/>
                <w:color w:val="000000"/>
                <w:kern w:val="0"/>
                <w:szCs w:val="21"/>
              </w:rPr>
            </w:pPr>
            <w:r>
              <w:rPr>
                <w:rFonts w:hint="eastAsia" w:asciiTheme="minorEastAsia" w:hAnsiTheme="minorEastAsia"/>
                <w:bCs/>
                <w:szCs w:val="21"/>
              </w:rPr>
              <w:t>3.“第四方物流”产业设计。</w:t>
            </w:r>
          </w:p>
          <w:p>
            <w:pPr>
              <w:pStyle w:val="6"/>
              <w:widowControl/>
              <w:adjustRightInd w:val="0"/>
              <w:snapToGrid w:val="0"/>
              <w:spacing w:line="360" w:lineRule="auto"/>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4.</w:t>
            </w:r>
            <w:r>
              <w:rPr>
                <w:rFonts w:hint="eastAsia" w:asciiTheme="minorEastAsia" w:hAnsiTheme="minorEastAsia"/>
                <w:bCs/>
                <w:szCs w:val="21"/>
              </w:rPr>
              <w:t>成果总结与市场宣传。</w:t>
            </w:r>
          </w:p>
          <w:p>
            <w:pPr>
              <w:adjustRightInd w:val="0"/>
              <w:snapToGrid w:val="0"/>
              <w:spacing w:line="276" w:lineRule="auto"/>
              <w:rPr>
                <w:rFonts w:asciiTheme="minorEastAsia" w:hAnsiTheme="minorEastAsia"/>
                <w:bCs/>
                <w:szCs w:val="21"/>
              </w:rPr>
            </w:pPr>
            <w:r>
              <w:rPr>
                <w:rFonts w:hint="eastAsia" w:cs="宋体" w:asciiTheme="minorEastAsia" w:hAnsiTheme="minorEastAsia"/>
                <w:color w:val="000000"/>
                <w:kern w:val="0"/>
                <w:szCs w:val="21"/>
              </w:rPr>
              <w:t>5.成果示范及产业化支持。</w:t>
            </w:r>
          </w:p>
        </w:tc>
      </w:tr>
    </w:tbl>
    <w:p>
      <w:pPr>
        <w:spacing w:line="360" w:lineRule="auto"/>
        <w:rPr>
          <w:rFonts w:asciiTheme="minorEastAsia" w:hAnsiTheme="minorEastAsia"/>
          <w:b/>
          <w:sz w:val="24"/>
          <w:szCs w:val="24"/>
        </w:rPr>
      </w:pPr>
      <w:r>
        <w:rPr>
          <w:rFonts w:hint="eastAsia" w:asciiTheme="minorEastAsia" w:hAnsiTheme="minorEastAsia"/>
          <w:b/>
          <w:sz w:val="24"/>
          <w:szCs w:val="24"/>
        </w:rPr>
        <w:t>2 主要完成人情况：</w:t>
      </w:r>
    </w:p>
    <w:tbl>
      <w:tblPr>
        <w:tblStyle w:val="4"/>
        <w:tblW w:w="89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
        <w:gridCol w:w="956"/>
        <w:gridCol w:w="1405"/>
        <w:gridCol w:w="954"/>
        <w:gridCol w:w="1424"/>
        <w:gridCol w:w="1377"/>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asciiTheme="minorEastAsia" w:hAnsiTheme="minorEastAsia"/>
                <w:b/>
                <w:bCs/>
                <w:szCs w:val="21"/>
              </w:rPr>
            </w:pPr>
            <w:r>
              <w:rPr>
                <w:rFonts w:hint="eastAsia" w:asciiTheme="minorEastAsia" w:hAnsiTheme="minorEastAsia"/>
                <w:b/>
                <w:bCs/>
                <w:szCs w:val="21"/>
              </w:rPr>
              <w:t>序号</w:t>
            </w:r>
          </w:p>
        </w:tc>
        <w:tc>
          <w:tcPr>
            <w:tcW w:w="956" w:type="dxa"/>
            <w:vAlign w:val="center"/>
          </w:tcPr>
          <w:p>
            <w:pPr>
              <w:jc w:val="center"/>
              <w:rPr>
                <w:rFonts w:asciiTheme="minorEastAsia" w:hAnsiTheme="minorEastAsia"/>
                <w:b/>
                <w:bCs/>
                <w:szCs w:val="21"/>
              </w:rPr>
            </w:pPr>
            <w:r>
              <w:rPr>
                <w:rFonts w:hint="eastAsia" w:asciiTheme="minorEastAsia" w:hAnsiTheme="minorEastAsia"/>
                <w:b/>
                <w:bCs/>
                <w:szCs w:val="21"/>
              </w:rPr>
              <w:t>姓名</w:t>
            </w:r>
          </w:p>
        </w:tc>
        <w:tc>
          <w:tcPr>
            <w:tcW w:w="1405" w:type="dxa"/>
            <w:vAlign w:val="center"/>
          </w:tcPr>
          <w:p>
            <w:pPr>
              <w:jc w:val="center"/>
              <w:rPr>
                <w:rFonts w:asciiTheme="minorEastAsia" w:hAnsiTheme="minorEastAsia"/>
                <w:b/>
                <w:bCs/>
                <w:szCs w:val="21"/>
              </w:rPr>
            </w:pPr>
            <w:r>
              <w:rPr>
                <w:rFonts w:hint="eastAsia" w:asciiTheme="minorEastAsia" w:hAnsiTheme="minorEastAsia"/>
                <w:b/>
                <w:bCs/>
                <w:szCs w:val="21"/>
              </w:rPr>
              <w:t>技术职称</w:t>
            </w:r>
          </w:p>
        </w:tc>
        <w:tc>
          <w:tcPr>
            <w:tcW w:w="954" w:type="dxa"/>
            <w:vAlign w:val="center"/>
          </w:tcPr>
          <w:p>
            <w:pPr>
              <w:jc w:val="center"/>
              <w:rPr>
                <w:rFonts w:asciiTheme="minorEastAsia" w:hAnsiTheme="minorEastAsia"/>
                <w:b/>
                <w:bCs/>
                <w:szCs w:val="21"/>
              </w:rPr>
            </w:pPr>
            <w:r>
              <w:rPr>
                <w:rFonts w:hint="eastAsia" w:asciiTheme="minorEastAsia" w:hAnsiTheme="minorEastAsia"/>
                <w:b/>
                <w:bCs/>
                <w:szCs w:val="21"/>
              </w:rPr>
              <w:t>行政</w:t>
            </w:r>
          </w:p>
          <w:p>
            <w:pPr>
              <w:jc w:val="center"/>
              <w:rPr>
                <w:rFonts w:asciiTheme="minorEastAsia" w:hAnsiTheme="minorEastAsia"/>
                <w:b/>
                <w:bCs/>
                <w:szCs w:val="21"/>
              </w:rPr>
            </w:pPr>
            <w:r>
              <w:rPr>
                <w:rFonts w:hint="eastAsia" w:asciiTheme="minorEastAsia" w:hAnsiTheme="minorEastAsia"/>
                <w:b/>
                <w:bCs/>
                <w:szCs w:val="21"/>
              </w:rPr>
              <w:t>职务</w:t>
            </w:r>
          </w:p>
        </w:tc>
        <w:tc>
          <w:tcPr>
            <w:tcW w:w="1424" w:type="dxa"/>
            <w:vAlign w:val="center"/>
          </w:tcPr>
          <w:p>
            <w:pPr>
              <w:jc w:val="center"/>
              <w:rPr>
                <w:rFonts w:asciiTheme="minorEastAsia" w:hAnsiTheme="minorEastAsia"/>
                <w:b/>
                <w:bCs/>
                <w:szCs w:val="21"/>
              </w:rPr>
            </w:pPr>
            <w:r>
              <w:rPr>
                <w:rFonts w:hint="eastAsia" w:asciiTheme="minorEastAsia" w:hAnsiTheme="minorEastAsia"/>
                <w:b/>
                <w:bCs/>
                <w:szCs w:val="21"/>
              </w:rPr>
              <w:t>工作单位</w:t>
            </w:r>
          </w:p>
        </w:tc>
        <w:tc>
          <w:tcPr>
            <w:tcW w:w="1377" w:type="dxa"/>
            <w:vAlign w:val="center"/>
          </w:tcPr>
          <w:p>
            <w:pPr>
              <w:jc w:val="center"/>
              <w:rPr>
                <w:rFonts w:asciiTheme="minorEastAsia" w:hAnsiTheme="minorEastAsia"/>
                <w:b/>
                <w:bCs/>
                <w:szCs w:val="21"/>
              </w:rPr>
            </w:pPr>
            <w:r>
              <w:rPr>
                <w:rFonts w:hint="eastAsia" w:asciiTheme="minorEastAsia" w:hAnsiTheme="minorEastAsia"/>
                <w:b/>
                <w:bCs/>
                <w:szCs w:val="21"/>
              </w:rPr>
              <w:t>完成单位</w:t>
            </w:r>
          </w:p>
        </w:tc>
        <w:tc>
          <w:tcPr>
            <w:tcW w:w="2346" w:type="dxa"/>
            <w:vAlign w:val="center"/>
          </w:tcPr>
          <w:p>
            <w:pPr>
              <w:jc w:val="center"/>
              <w:rPr>
                <w:rFonts w:cs="Arial" w:asciiTheme="minorEastAsia" w:hAnsiTheme="minorEastAsia"/>
                <w:b/>
                <w:bCs/>
                <w:color w:val="000000" w:themeColor="text1"/>
                <w:kern w:val="0"/>
                <w:szCs w:val="21"/>
                <w14:textFill>
                  <w14:solidFill>
                    <w14:schemeClr w14:val="tx1"/>
                  </w14:solidFill>
                </w14:textFill>
              </w:rPr>
            </w:pPr>
            <w:r>
              <w:rPr>
                <w:rFonts w:hint="eastAsia" w:asciiTheme="minorEastAsia" w:hAnsiTheme="minorEastAsia"/>
                <w:b/>
                <w:bCs/>
                <w:szCs w:val="21"/>
              </w:rPr>
              <w:t>对本项目贡献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1</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张恩科</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主任技师</w:t>
            </w:r>
          </w:p>
        </w:tc>
        <w:tc>
          <w:tcPr>
            <w:tcW w:w="95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主任</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方案设计与实施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2</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李帅帅</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副主任技师</w:t>
            </w:r>
          </w:p>
        </w:tc>
        <w:tc>
          <w:tcPr>
            <w:tcW w:w="954" w:type="dxa"/>
            <w:vAlign w:val="center"/>
          </w:tcPr>
          <w:p>
            <w:pPr>
              <w:jc w:val="center"/>
            </w:pPr>
            <w:r>
              <w:rPr>
                <w:rFonts w:hint="eastAsia" w:asciiTheme="minorEastAsia" w:hAnsiTheme="minorEastAsia"/>
                <w:bCs/>
                <w:szCs w:val="21"/>
              </w:rPr>
              <w:t>无</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结构设计与需求分析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3</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韩伟</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主管技师</w:t>
            </w:r>
          </w:p>
        </w:tc>
        <w:tc>
          <w:tcPr>
            <w:tcW w:w="954" w:type="dxa"/>
            <w:vAlign w:val="center"/>
          </w:tcPr>
          <w:p>
            <w:pPr>
              <w:jc w:val="center"/>
            </w:pPr>
            <w:r>
              <w:rPr>
                <w:rFonts w:hint="eastAsia" w:asciiTheme="minorEastAsia" w:hAnsiTheme="minorEastAsia"/>
                <w:bCs/>
                <w:szCs w:val="21"/>
              </w:rPr>
              <w:t>无</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项目设计、组织、总结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4</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罗竫娜</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副主任护师</w:t>
            </w:r>
          </w:p>
        </w:tc>
        <w:tc>
          <w:tcPr>
            <w:tcW w:w="95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护士长</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项目设计、组织、总结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5</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武卓</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主管技师</w:t>
            </w:r>
          </w:p>
        </w:tc>
        <w:tc>
          <w:tcPr>
            <w:tcW w:w="954" w:type="dxa"/>
            <w:vAlign w:val="center"/>
          </w:tcPr>
          <w:p>
            <w:pPr>
              <w:jc w:val="center"/>
            </w:pPr>
            <w:r>
              <w:rPr>
                <w:rFonts w:hint="eastAsia" w:asciiTheme="minorEastAsia" w:hAnsiTheme="minorEastAsia"/>
                <w:bCs/>
                <w:szCs w:val="21"/>
              </w:rPr>
              <w:t>无</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方法设计与技术应用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6</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刘伟军</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主管技师</w:t>
            </w:r>
          </w:p>
        </w:tc>
        <w:tc>
          <w:tcPr>
            <w:tcW w:w="954" w:type="dxa"/>
            <w:vAlign w:val="center"/>
          </w:tcPr>
          <w:p>
            <w:pPr>
              <w:jc w:val="center"/>
            </w:pPr>
            <w:r>
              <w:rPr>
                <w:rFonts w:hint="eastAsia" w:asciiTheme="minorEastAsia" w:hAnsiTheme="minorEastAsia"/>
                <w:bCs/>
                <w:szCs w:val="21"/>
              </w:rPr>
              <w:t>无</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方法设计与技术应用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7</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黎升红</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工程师</w:t>
            </w:r>
          </w:p>
        </w:tc>
        <w:tc>
          <w:tcPr>
            <w:tcW w:w="954" w:type="dxa"/>
            <w:vAlign w:val="center"/>
          </w:tcPr>
          <w:p>
            <w:pPr>
              <w:jc w:val="center"/>
            </w:pPr>
            <w:r>
              <w:rPr>
                <w:rFonts w:hint="eastAsia" w:asciiTheme="minorEastAsia" w:hAnsiTheme="minorEastAsia"/>
                <w:bCs/>
                <w:szCs w:val="21"/>
              </w:rPr>
              <w:t>无</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天网软件股份有限公司</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系统架构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8</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曹红儒</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主管技师</w:t>
            </w:r>
          </w:p>
        </w:tc>
        <w:tc>
          <w:tcPr>
            <w:tcW w:w="95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科长</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咸阳市中心医院</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软件设计与编程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9</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刘健</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主管技师</w:t>
            </w:r>
          </w:p>
        </w:tc>
        <w:tc>
          <w:tcPr>
            <w:tcW w:w="95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科长</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延安市人民医院</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系统架构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10</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王凤</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高级会计</w:t>
            </w:r>
          </w:p>
        </w:tc>
        <w:tc>
          <w:tcPr>
            <w:tcW w:w="954" w:type="dxa"/>
            <w:vAlign w:val="center"/>
          </w:tcPr>
          <w:p>
            <w:pPr>
              <w:jc w:val="center"/>
            </w:pPr>
            <w:r>
              <w:rPr>
                <w:rFonts w:hint="eastAsia" w:asciiTheme="minorEastAsia" w:hAnsiTheme="minorEastAsia"/>
                <w:bCs/>
                <w:szCs w:val="21"/>
              </w:rPr>
              <w:t>无</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测试与应用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11</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卢恒辉</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技师</w:t>
            </w:r>
          </w:p>
        </w:tc>
        <w:tc>
          <w:tcPr>
            <w:tcW w:w="954" w:type="dxa"/>
            <w:vAlign w:val="center"/>
          </w:tcPr>
          <w:p>
            <w:pPr>
              <w:jc w:val="center"/>
            </w:pPr>
            <w:r>
              <w:rPr>
                <w:rFonts w:hint="eastAsia" w:asciiTheme="minorEastAsia" w:hAnsiTheme="minorEastAsia"/>
                <w:bCs/>
                <w:szCs w:val="21"/>
              </w:rPr>
              <w:t>无</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天网软件股份有限公司</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测试与应用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12</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郭慧涵</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技师</w:t>
            </w:r>
          </w:p>
        </w:tc>
        <w:tc>
          <w:tcPr>
            <w:tcW w:w="954" w:type="dxa"/>
            <w:vAlign w:val="center"/>
          </w:tcPr>
          <w:p>
            <w:pPr>
              <w:jc w:val="center"/>
            </w:pPr>
            <w:r>
              <w:rPr>
                <w:rFonts w:hint="eastAsia" w:asciiTheme="minorEastAsia" w:hAnsiTheme="minorEastAsia"/>
                <w:bCs/>
                <w:szCs w:val="21"/>
              </w:rPr>
              <w:t>无</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测试与应用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13</w:t>
            </w:r>
          </w:p>
        </w:tc>
        <w:tc>
          <w:tcPr>
            <w:tcW w:w="95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杨艳萍</w:t>
            </w:r>
          </w:p>
        </w:tc>
        <w:tc>
          <w:tcPr>
            <w:tcW w:w="1405"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技师</w:t>
            </w:r>
          </w:p>
        </w:tc>
        <w:tc>
          <w:tcPr>
            <w:tcW w:w="954" w:type="dxa"/>
            <w:vAlign w:val="center"/>
          </w:tcPr>
          <w:p>
            <w:pPr>
              <w:jc w:val="center"/>
            </w:pPr>
            <w:r>
              <w:rPr>
                <w:rFonts w:hint="eastAsia" w:asciiTheme="minorEastAsia" w:hAnsiTheme="minorEastAsia"/>
                <w:bCs/>
                <w:szCs w:val="21"/>
              </w:rPr>
              <w:t>无</w:t>
            </w:r>
          </w:p>
        </w:tc>
        <w:tc>
          <w:tcPr>
            <w:tcW w:w="1424"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1377"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陕西省人民医院</w:t>
            </w:r>
          </w:p>
        </w:tc>
        <w:tc>
          <w:tcPr>
            <w:tcW w:w="2346" w:type="dxa"/>
            <w:vAlign w:val="center"/>
          </w:tcPr>
          <w:p>
            <w:pPr>
              <w:jc w:val="center"/>
              <w:rPr>
                <w:rFonts w:cs="Arial" w:asciiTheme="minorEastAsia" w:hAnsiTheme="minorEastAsia"/>
                <w:bCs/>
                <w:color w:val="000000" w:themeColor="text1"/>
                <w:kern w:val="0"/>
                <w:szCs w:val="21"/>
                <w14:textFill>
                  <w14:solidFill>
                    <w14:schemeClr w14:val="tx1"/>
                  </w14:solidFill>
                </w14:textFill>
              </w:rPr>
            </w:pPr>
            <w:r>
              <w:rPr>
                <w:rFonts w:hint="eastAsia" w:cs="Arial" w:asciiTheme="minorEastAsia" w:hAnsiTheme="minorEastAsia"/>
                <w:bCs/>
                <w:color w:val="000000" w:themeColor="text1"/>
                <w:kern w:val="0"/>
                <w:szCs w:val="21"/>
                <w14:textFill>
                  <w14:solidFill>
                    <w14:schemeClr w14:val="tx1"/>
                  </w14:solidFill>
                </w14:textFill>
              </w:rPr>
              <w:t>测试与应用</w:t>
            </w:r>
          </w:p>
        </w:tc>
      </w:tr>
    </w:tbl>
    <w:p>
      <w:pPr>
        <w:spacing w:line="360" w:lineRule="auto"/>
        <w:rPr>
          <w:rFonts w:asciiTheme="minorEastAsia" w:hAnsiTheme="minorEastAsia"/>
          <w:b/>
          <w:sz w:val="24"/>
          <w:szCs w:val="24"/>
        </w:rPr>
      </w:pPr>
      <w:r>
        <w:rPr>
          <w:rFonts w:hint="eastAsia" w:asciiTheme="minorEastAsia" w:hAnsiTheme="minorEastAsia"/>
          <w:b/>
          <w:sz w:val="24"/>
          <w:szCs w:val="24"/>
        </w:rPr>
        <w:t>3 项目简介、客观评价及应用情况：</w:t>
      </w:r>
    </w:p>
    <w:p>
      <w:pPr>
        <w:spacing w:line="360" w:lineRule="auto"/>
        <w:rPr>
          <w:rFonts w:asciiTheme="minorEastAsia" w:hAnsiTheme="minorEastAsia"/>
          <w:b/>
          <w:sz w:val="24"/>
          <w:szCs w:val="24"/>
        </w:rPr>
      </w:pPr>
      <w:r>
        <w:rPr>
          <w:rFonts w:hint="eastAsia" w:asciiTheme="minorEastAsia" w:hAnsiTheme="minorEastAsia"/>
          <w:b/>
          <w:sz w:val="24"/>
          <w:szCs w:val="24"/>
        </w:rPr>
        <w:t>3.1 项目简介</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本项目成果的取得定位“实施健康中国战略”，策源新医改方向，承载医用器材采供“两票制”“配送制”“阳光采购”等政策，推进药品供应体制改革，寻求突破医用物联网发展瓶颈。</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深刻理解了在健全医药供应保障体制改革中，我国政府在行使监督、管理、引导职能的思想内涵，对“两票制”、“配送制”、“阳光采购”及“耗占比”指标控制等政策做出了准确诠释，结合现代市场经济的普遍规律，研究我国社会主义市场经济形势下的全产业生态，并通过在包含医药、医用耗材、体外诊断试剂等医用物资的生产、流通、医疗等相关领域引入物联网技术，建立了完整意义上的医用物资供应链支持体系与服务机制，不仅从供应端压缩了流通环节，推动降低医用物资虚高价格，而且医疗机构内部建立了有效纠正包含乱收费、诱导消费等医疗服务不正之风。</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针对医用耗材购销领域存在的普遍性难题，陕西省人民医院器材管理团队经十多年调研、探索和实践，在陕西省科技统筹创新工程重大群项目、陕西省科技创新团队项目、陕西省卫计委、吴阶平医学基金会、以及医院、天网配套资金近500万元的支持下，分别从医院内、医院外制定了完整的解决方案并整合对接，形成整体化的链路实物供应和信息支持网络，致力全面解决我国医疗卫生体制改革中遇到的实际问题。</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的重大意义有四个方面：（1）落实健康中国战略，健全现代医疗保障制度。策源于健全药品供应保障制度是十九大提出的落实健康中国战略要点之一，十九大报告明确提出要加强和创新医疗领域的社会治理体系，十九大报告明确要求健全医院管理制度。（2）抓住传统医用器材供应保障核心矛盾，解决社会重大和全局问题。主要矛盾表现在医疗卫生投入巨大，增长迅猛，医用器材所占的成分不容忽视，医用物资使用环节管理薄弱，医疗服务不正之风现象相当普遍，价格虚高，购销领域的问题相当突出。（3）推进政策，策应药品供应体制改革。具体表现在承载新医改医用器材采供的“两票制”“配送制”“阳光采购”等政策推进使命，破解”看病贵“难题，以及实现新医改“耗占比”控制目标，优化医疗成本比例。（4）迎接行业颠覆性变革，促进产业升级。创新性成果有三个：构筑工-商-医全产业链新生态；创新“第四方物流”现代新型服务企业模式；突破医疗物联网发展瓶颈，助力国民经济健康发展。</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本项目的研究内容是以项目组提出的医用器材全领域 "三方六向"生态构建理论为基础[工（生产商与分支机构）、商（配送商和物流商）、医（医院和患者）]，在医疗器材行业首次将第四方服务与生产实践相结合，建立了能实现工-商-医产业链一体化的资源统筹和信息共享体系，向生产、流通和需求等客户提供服务保障与技术支持，实现了生产/MPS（计划）、配送/ERP、物流/WMS(仓储)+TMS(运输) 、院内物资/（全流程链路管理）等解决方案，完成了医疗物资"物联网"的规划和设计，为国内医用器材第四方物流产业发展奠定了基础，完善医疗物联网功能，达到了承载全域产业、营造协作氛围、搭建创新环境、支持发展壮大、推动能级提升的目的。</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成果包括完善的医用器材“三方六向”生态构建（理论成果）和以第四方物流为核心的医疗物资物联网方案、设计与应用（产业化成果）。成果立足健康中国战略，策源医改政策方向，承载新医改医用器材采供的"两票制"、"配送制"、"阳光采购"等政策，推进药品供应体制改革，突破了医用耗材物联网发展瓶颈。</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成果在医疗行业、社会治理、产业推动及新兴服务业创建等方面均有较好的应用和明确的效益。（1）经济效益：以软件销售、租赁服务、咨询费、新媒体等以及其他增值盈利模式，实现经济指标。成果产品推广将促进形成以第四方物流为主营的现代服务企业，有极大的潜力在全国推广，五年后企业年产值超过十亿不是梦。（2）节约效益：成果产品推广，可大大降低流通环节成本，同时通过填补医疗机构在使用环节的管理空白，可降低医疗器材成本40%以上。（3）社会效益：保障患者消费权益，减少计费误差，降低率在16%以上；医用物资供应效率提高，准确度和可靠性增强，提升比例在25%以上，间接提高医疗服务质量；第四方物流企业可解决人员就业，每省在160人左右；推进国家和战略和新医改政策落实使命，支持医疗器材工商医载体建设，能产生强大的融合力，能统筹医用物资行业工-商-医全产业链资源，满足我国现代医疗卫生、装备制造业和商业贸易的发展需要，优化市场布局，提升工作效率，推动医疗领域的电子商务进程，促进产业升级。</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成果在全国行业产生相当影响。国家监察部、发改委、卫计委、陕西省人大、科技厅、卫计委、监察厅等均对项目成果给予了充分肯定。2012年8月起，项目组分赴全国各地举办全国性医用耗材专题研讨会和培训班52场，医疗机构、经销企业及生产厂家受训专业人员超过1万人。项目组接待来自全国各地医院观摩93家，来院人数348人次，接待进修26人次。目前，项目各型产品已经在国内400余家医院使用，自2017年起四方物流平台产品已推广医院十余家，经销商用户超过150家。</w:t>
      </w:r>
    </w:p>
    <w:p>
      <w:pPr>
        <w:spacing w:line="360" w:lineRule="auto"/>
        <w:rPr>
          <w:rFonts w:asciiTheme="minorEastAsia" w:hAnsiTheme="minorEastAsia"/>
          <w:b/>
          <w:sz w:val="24"/>
          <w:szCs w:val="24"/>
        </w:rPr>
      </w:pPr>
      <w:r>
        <w:rPr>
          <w:rFonts w:hint="eastAsia" w:asciiTheme="minorEastAsia" w:hAnsiTheme="minorEastAsia"/>
          <w:b/>
          <w:sz w:val="24"/>
          <w:szCs w:val="24"/>
        </w:rPr>
        <w:t>3.2 客观评价</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本项目由陕西省人民医院临床医学工程与信息创新团队完成，从七个主要方面给予评价。</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1、项目研究定位较高，应用必要性迫切</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本项目成果策源新医改方向，承载医用器材采供“两票制”“配送制”“阳光采购”等政策，推进药品供应体制改革，寻求突破医用物联网发展瓶颈。</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2、项目成果整体性强，逻辑严密</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对“两票制”、“配送制”、“阳光采购”及“耗占比”指标控制等政策做出了准确诠释，并建立了医用物资供应链支持体系与服务机制。不仅从供应端压缩了流通环节，使中间加价透明化，进一步推动降低医用物资虚高价格，减轻群众用药负担，医疗机构内部建立了有效纠正包含乱收费、诱导消费等医疗服务不正之风，而且本成果的应用能产生强大的融合性，能统筹医用物资行业工-商-医全产业链资源，优化市场布局，提升工作效率，推动医疗领域的电子商务进程，促进产业升级。</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3、项目成果解决方法科学，方案完整</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1）科学理论。基于药品供应保障制度改革的政策，全面理解并诠释政府监督（阳光采购）、政府管理（两票制）、政府引导（产业集中）的精神，建立了医用耗材全产业供应链支持体系与流程规范，形成整体化的链路实物供应和信息支持网络。</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（2）先进理念。在国内首次提出医用器材全领域 “三方六向”生态理论，达到了降低成本，提高效率，促进国民经济的健康发展。</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（3）领先技术。建立了实现工-商-医产业链一体化的资源统筹和信息共享体系，重点实现了生产/MPS（计划）、配送/ERP、物流/WMS(仓储)+TMS(运输)、院内物资/（全流程链路管理）等解决方案。</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（4）宏大目标。完成了医疗物资“物联网”的规划和设计，并在国内首次为第四方物流产业发展奠定了基础。</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4、项目成果创新性较强，应用可行性较高</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本项目在国内首次提出医用器材全领域 “三方六向”生态理论；在国内第一个倡导生产、流通、服务企业“三维”产业发展理念；在医疗领域第一个将第四方物流应用于医疗卫生的生产实践合；完成了第四方物流企业建设规划与运营机制。</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1）完善了惩治医药购销领域和纠正医疗服务的长效机制。①实现了医院的医用物资供应保障和规范管理，维护大众权益。②完成医院信息系统与卫计委信息平台、政府监管平台互联互通，实现采购、配送、使用全流程闭环监管。</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策应“两票制”政策，促进流通领域整合。①渠道扁平化集中度大幅度提升，为产业升级创造条件。②医用物资采供层级显著压缩，有效降低医疗成本。③为工商医全产业链海量信息处理及大数据应用提供了解决方案。④供应链协同加强，为建立医疗领域物联网奠定基础。</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3）创新发展模式，推动产业颠覆性变革。①创新性构建了医用器材“三方六向”行业新生态。②在经济界和管理界首次提出传统生产和流通企业“三维”产业发展理念。③在国内第一个建立了第四方物流企业，具备完全的运营体系与机制。</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5、项目研究采取产学研结合模式，成果转化基础优良</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本项目的研究取得了多项著作权登记并顺利通过CMA认证，为其成果转化奠定了坚实的基础。在项目研发阶段，主持单位即展开与国内著名及地区规模性工商医单位的广泛合作，其中生产型企业包含深圳迈瑞生物医疗电子股份有限公司、安图体外诊断试剂公司、罗氏诊断上海有限公司等；流通型公司包括陕西省临检中心、瑞康陕西有限公司、国药控股陕西有限公司、国药集团陕西器械有限公司、陕西海王银河有限公司。</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6、成果应用效益比较显著，有较大转化价值</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（1）经济效益。第四方物流企业以软件销售、租赁服务、咨询费、新媒体等以及其他增值盈利模式，实现经济指标。成果产品推广将促进形成以第四方物流为主营的现代服务企业，有极大的潜力在全国推广。</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节约效益。生产企业、配送公司、物流企业和医疗结构试用本成果后，成果产品的推广可大大降低医疗物资的流通环节成本，同时通过填补医疗机构在使用环节的管理空白，经抽样调研可降低医疗机构的医疗物资采购成本30%以上。</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3）社会效益。保障患者消费权益，医疗机构计费误差降低率在16%以上；医用物资供应效率提高，准确度和可靠性增强，提升比例在25%以上；第四方物流企业可解决人员就业，每省在160人左右；本成果所建立的医用物资行业工-商-医信息共享与数据融合，促进产业升级作用明显，为医药物联网奠定了基础，</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7、项目成果影响行业，全国瞩目</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仅2016-2017年，成果完成团队开展全国性专业研讨会16场，与美国有关专家研讨1场，参与专家403人次。</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仅2016-2017年，成果完成团队成员赴全国各地进行专题会议交流27场，参加同行及政府部门人员6600余人次。</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仅2016-2017年，接待29家国内医院同行来院观摩学习，带教培训118人次。</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国家发改委、陕西省人大、陕西省政协、陕西省卫计委、陕西省监察厅等政府有关领导现场考察并作出推广指示。</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2017年12月17日中央电视台《新闻联播》对本项目的研发和应用单位陕西省人民医院医用耗材管理效果进行了44秒的报道。</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综上所述，本项目的意义是实施健康中国战略，承载新医改政策落实使命，支持医疗物联网载体建设，统筹工商医全领域资源，促进跨界融合，促进产业能级提升。本项目成果整体处于国内领先水平。</w:t>
      </w:r>
    </w:p>
    <w:p>
      <w:pPr>
        <w:spacing w:line="360" w:lineRule="auto"/>
        <w:rPr>
          <w:rFonts w:asciiTheme="minorEastAsia" w:hAnsiTheme="minorEastAsia"/>
          <w:b/>
          <w:sz w:val="24"/>
          <w:szCs w:val="24"/>
        </w:rPr>
      </w:pPr>
      <w:r>
        <w:rPr>
          <w:rFonts w:hint="eastAsia" w:asciiTheme="minorEastAsia" w:hAnsiTheme="minorEastAsia"/>
          <w:b/>
          <w:sz w:val="24"/>
          <w:szCs w:val="24"/>
        </w:rPr>
        <w:t>3.3 应用情况</w:t>
      </w:r>
    </w:p>
    <w:p>
      <w:pPr>
        <w:pStyle w:val="2"/>
        <w:widowControl/>
        <w:spacing w:beforeAutospacing="0" w:afterAutospacing="0" w:line="360" w:lineRule="atLeast"/>
        <w:rPr>
          <w:rFonts w:ascii="宋体" w:hAnsi="宋体" w:eastAsia="宋体" w:cs="宋体"/>
          <w:b/>
          <w:color w:val="000000"/>
          <w:szCs w:val="24"/>
        </w:rPr>
      </w:pPr>
      <w:r>
        <w:rPr>
          <w:rFonts w:hint="eastAsia" w:ascii="宋体" w:hAnsi="宋体" w:cs="宋体"/>
          <w:b/>
          <w:color w:val="000000"/>
          <w:szCs w:val="24"/>
        </w:rPr>
        <w:t xml:space="preserve">3.3.1 </w:t>
      </w:r>
      <w:r>
        <w:rPr>
          <w:rFonts w:hint="eastAsia" w:ascii="宋体" w:hAnsi="宋体" w:eastAsia="宋体" w:cs="宋体"/>
          <w:b/>
          <w:color w:val="000000"/>
          <w:szCs w:val="24"/>
        </w:rPr>
        <w:t>项目成果拟解决的问题</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（一）落实健康中国战略，健全现代医疗保障制度</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①承载新医改医用器材采供的“两票制”“配送制”“阳光采购”等政策推进使命，破解”看病贵“难题。</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②实现新医改“耗占比”控制目标，优化医疗成本比例。</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（二）抓住传统医用器材供应保障核心矛盾，解决重大和全局问题</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①医疗卫生投入巨大，增长迅猛，医用器材所占的成分不容忽视。</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②使用环节管理薄弱，医疗服务不正之风现象相当普遍。</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③价格虚高，购销领域的问题相当突出。</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（三）迎接行业颠覆性变革，促进产业升级</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①构筑工-商-医全产业链新生态。</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②创新“第四方物流”现代新型服务企业模式。</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③突破医疗物联网发展瓶颈，助力国民经济健康发展。</w:t>
      </w:r>
    </w:p>
    <w:p>
      <w:pPr>
        <w:pStyle w:val="2"/>
        <w:widowControl/>
        <w:spacing w:beforeAutospacing="0" w:afterAutospacing="0" w:line="360" w:lineRule="atLeast"/>
        <w:rPr>
          <w:rFonts w:ascii="宋体" w:hAnsi="宋体" w:eastAsia="宋体" w:cs="宋体"/>
          <w:b/>
          <w:color w:val="000000"/>
          <w:szCs w:val="24"/>
        </w:rPr>
      </w:pPr>
      <w:r>
        <w:rPr>
          <w:rFonts w:hint="eastAsia" w:ascii="宋体" w:hAnsi="宋体" w:cs="宋体"/>
          <w:b/>
          <w:color w:val="000000"/>
          <w:szCs w:val="24"/>
        </w:rPr>
        <w:t xml:space="preserve">3.3.2 </w:t>
      </w:r>
      <w:r>
        <w:rPr>
          <w:rFonts w:hint="eastAsia" w:ascii="宋体" w:hAnsi="宋体" w:eastAsia="宋体" w:cs="宋体"/>
          <w:b/>
          <w:color w:val="000000"/>
          <w:szCs w:val="24"/>
        </w:rPr>
        <w:t>研发与应用历程</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2007年，陕西省人民医院医疗器材管理规范完成。</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2008年，医疗器材管理系统目录库部分研发完成并投入使用。</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2009年，医疗器材管理系统二级库部分研发完成并投入使用。</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2010年，陕西省人民医院医疗器材管理规范修订版完成。</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2011年，医疗器材编码与条码技术应用部分研发完成并投入使用。</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2012年，形成软件产品“医院医用耗材管理平台”，包括“医用耗材资质与目录库管理系统”、“医用耗材流量流向管理系统”、“医用耗材暂存分库房管理系统”、“医用耗材链路管理及全流程信息系统”等可独立运行的子系统，获得5项计算机软件著作权登记。</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2015年，医用器材院内全流程信息平台系统研发完成，综合调试，成型为医院医疗耗材整体解决方案。</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2016年，致力“第四方物流全产业链服务系统”研发与示范。</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2017年，推动医用器材“三方六向”生态构建与“第四方物流”应用。</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2015-2017年，陕西省人民医院设备管理科接待来自全国各地医院关于本项目现场观摩93家，近348人次，接待进修26人次。</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2012年8月至今，经中国生物医学工程协会、中国临床工程师协会、中国医院管理协会、中国医疗设备杂志社、陕西省医疗器械协会医疗装备分会、山东新文化传媒有限公司等，项目组主要成员举办全国性医用耗材专题研讨会和培训班52次，医疗机构、经销企业及生产厂家受训专业人员超过1万人。</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目前，项目各型产品已经在国内400余家医院使用，自2017年起四方物流平台产品已推广医院十余家，经销商用户超过150家。</w:t>
      </w:r>
    </w:p>
    <w:p>
      <w:pPr>
        <w:pStyle w:val="2"/>
        <w:widowControl/>
        <w:spacing w:beforeAutospacing="0" w:afterAutospacing="0" w:line="360" w:lineRule="atLeast"/>
        <w:rPr>
          <w:rFonts w:ascii="宋体" w:hAnsi="宋体" w:eastAsia="宋体" w:cs="宋体"/>
          <w:b/>
          <w:color w:val="000000"/>
          <w:szCs w:val="24"/>
        </w:rPr>
      </w:pPr>
      <w:r>
        <w:rPr>
          <w:rFonts w:hint="eastAsia" w:ascii="宋体" w:hAnsi="宋体" w:cs="宋体"/>
          <w:b/>
          <w:color w:val="000000"/>
          <w:szCs w:val="24"/>
        </w:rPr>
        <w:t xml:space="preserve">3.3.3 </w:t>
      </w:r>
      <w:r>
        <w:rPr>
          <w:rFonts w:hint="eastAsia" w:ascii="宋体" w:hAnsi="宋体" w:eastAsia="宋体" w:cs="宋体"/>
          <w:b/>
          <w:color w:val="000000"/>
          <w:szCs w:val="24"/>
        </w:rPr>
        <w:t>典型应用领域</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医疗行业应用。医疗耗材链路管理与全流程信息系统实现了医用耗材的全程可追溯性管理，对解决耗材管理中存在的医疗安全、患者利益、经营成本等诸多问题，为行业提供了整体化解决方案。</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社会治理应用。基于工商医全产业的医用物资供应链，建立“两票制”信息备存与核查机制，辅助政府行使管理职能；对接政府阳光采购平台，逐步实现医疗物资的网上采购，并以段位管理、限价挂网、带量采购等机制进行监督。</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产业推动应用。医用耗材院内端综合规范管理系统和院外端物流与配送支持服务系统，包含了仓储、流通、结算、资源效能管理等多个子系统，均可独立或组合运行，通过全流程多环节整合，宏观上完成全商流、物流、医流三维合一，实现采购、库存、销售、客户关系四位一体管理。</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兴服务创建。新兴第四方物流企业，专门为工商医三方六向各组成角色，提供专业化和个性化的管理子系统，制定行业技术标准和建立行业操作规范，同时建立现代新媒体平台。</w:t>
      </w:r>
    </w:p>
    <w:p>
      <w:pPr>
        <w:pStyle w:val="2"/>
        <w:widowControl/>
        <w:spacing w:beforeAutospacing="0" w:afterAutospacing="0" w:line="360" w:lineRule="atLeast"/>
        <w:rPr>
          <w:rFonts w:ascii="宋体" w:hAnsi="宋体" w:eastAsia="宋体" w:cs="宋体"/>
          <w:b/>
          <w:color w:val="000000"/>
          <w:szCs w:val="24"/>
        </w:rPr>
      </w:pPr>
      <w:r>
        <w:rPr>
          <w:rFonts w:hint="eastAsia" w:ascii="宋体" w:hAnsi="宋体" w:cs="宋体"/>
          <w:b/>
          <w:color w:val="000000"/>
          <w:szCs w:val="24"/>
        </w:rPr>
        <w:t xml:space="preserve">3.3.4 </w:t>
      </w:r>
      <w:r>
        <w:rPr>
          <w:rFonts w:hint="eastAsia" w:ascii="宋体" w:hAnsi="宋体" w:eastAsia="宋体" w:cs="宋体"/>
          <w:b/>
          <w:color w:val="000000"/>
          <w:szCs w:val="24"/>
        </w:rPr>
        <w:t>产业化效益</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经济效益。成果产品推广将促进形成以第四方物流为主营的现代服务企业，以软件销售、租赁服务、咨询费、新媒体等以及其他增值盈利模式实现经济指标。有极大的潜力在全国推广。</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节约效益。成果产品推广，可大大降低流通环节成本，生产企业、配送商、物流公司经营成本大大降低，本成果同时通过填补医疗机构在使用环节的管理空白，可降低医疗器材成本40%以上。</w:t>
      </w:r>
    </w:p>
    <w:p>
      <w:pPr>
        <w:ind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 xml:space="preserve">社会效益。①保障患者消费权益，减少计费误差，降低率在16%以上。②医用物资供应效率提高，准确度和可靠性增强，提升比例在25%以上，间接提高医疗服务质量。③第四方物流企业可解决人员就业，每省在160人左右。④承载国家和战略和新医改政策落实使命，支持医疗器材工商医载体建设，统筹全领域资源，促进跨界融合，营造协调和创新氛围，促进产业能级提升。 </w:t>
      </w:r>
    </w:p>
    <w:p>
      <w:pPr>
        <w:spacing w:line="360" w:lineRule="auto"/>
        <w:rPr>
          <w:rFonts w:asciiTheme="minorEastAsia" w:hAnsiTheme="minorEastAsia"/>
          <w:b/>
          <w:sz w:val="24"/>
          <w:szCs w:val="24"/>
        </w:rPr>
      </w:pPr>
      <w:r>
        <w:rPr>
          <w:rFonts w:hint="eastAsia" w:asciiTheme="minorEastAsia" w:hAnsiTheme="minorEastAsia"/>
          <w:b/>
          <w:sz w:val="24"/>
          <w:szCs w:val="24"/>
        </w:rPr>
        <w:t>3.3.5 主要应用单位情况表</w:t>
      </w:r>
    </w:p>
    <w:tbl>
      <w:tblPr>
        <w:tblStyle w:val="4"/>
        <w:tblW w:w="8881" w:type="dxa"/>
        <w:jc w:val="center"/>
        <w:tblInd w:w="-1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3924"/>
        <w:gridCol w:w="1410"/>
        <w:gridCol w:w="975"/>
        <w:gridCol w:w="1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976" w:type="dxa"/>
            <w:vAlign w:val="center"/>
          </w:tcPr>
          <w:p>
            <w:pPr>
              <w:pStyle w:val="2"/>
              <w:widowControl/>
              <w:spacing w:beforeAutospacing="0" w:afterAutospacing="0" w:line="360" w:lineRule="atLeast"/>
              <w:jc w:val="center"/>
              <w:rPr>
                <w:rFonts w:cs="宋体" w:asciiTheme="minorEastAsia" w:hAnsiTheme="minorEastAsia"/>
                <w:b/>
                <w:bCs/>
                <w:color w:val="000000"/>
                <w:sz w:val="21"/>
                <w:szCs w:val="21"/>
              </w:rPr>
            </w:pPr>
            <w:r>
              <w:rPr>
                <w:rFonts w:hint="eastAsia" w:cs="宋体" w:asciiTheme="minorEastAsia" w:hAnsiTheme="minorEastAsia"/>
                <w:b/>
                <w:bCs/>
                <w:color w:val="000000"/>
                <w:sz w:val="21"/>
                <w:szCs w:val="21"/>
              </w:rPr>
              <w:t>序号</w:t>
            </w:r>
          </w:p>
        </w:tc>
        <w:tc>
          <w:tcPr>
            <w:tcW w:w="3924" w:type="dxa"/>
            <w:vAlign w:val="center"/>
          </w:tcPr>
          <w:p>
            <w:pPr>
              <w:pStyle w:val="2"/>
              <w:widowControl/>
              <w:spacing w:beforeAutospacing="0" w:afterAutospacing="0" w:line="360" w:lineRule="atLeast"/>
              <w:jc w:val="center"/>
              <w:rPr>
                <w:rFonts w:cs="宋体" w:asciiTheme="minorEastAsia" w:hAnsiTheme="minorEastAsia"/>
                <w:b/>
                <w:bCs/>
                <w:color w:val="000000"/>
                <w:sz w:val="21"/>
                <w:szCs w:val="21"/>
              </w:rPr>
            </w:pPr>
            <w:r>
              <w:rPr>
                <w:rFonts w:hint="eastAsia" w:cs="宋体" w:asciiTheme="minorEastAsia" w:hAnsiTheme="minorEastAsia"/>
                <w:b/>
                <w:bCs/>
                <w:color w:val="000000"/>
                <w:sz w:val="21"/>
                <w:szCs w:val="21"/>
              </w:rPr>
              <w:t>应用单位名称</w:t>
            </w:r>
          </w:p>
        </w:tc>
        <w:tc>
          <w:tcPr>
            <w:tcW w:w="1410" w:type="dxa"/>
            <w:vAlign w:val="center"/>
          </w:tcPr>
          <w:p>
            <w:pPr>
              <w:pStyle w:val="2"/>
              <w:widowControl/>
              <w:spacing w:beforeAutospacing="0" w:afterAutospacing="0" w:line="360" w:lineRule="atLeast"/>
              <w:jc w:val="center"/>
              <w:rPr>
                <w:rFonts w:cs="宋体" w:asciiTheme="minorEastAsia" w:hAnsiTheme="minorEastAsia"/>
                <w:b/>
                <w:bCs/>
                <w:color w:val="000000"/>
                <w:sz w:val="21"/>
                <w:szCs w:val="21"/>
              </w:rPr>
            </w:pPr>
            <w:r>
              <w:rPr>
                <w:rFonts w:hint="eastAsia" w:cs="宋体" w:asciiTheme="minorEastAsia" w:hAnsiTheme="minorEastAsia"/>
                <w:b/>
                <w:bCs/>
                <w:color w:val="000000"/>
                <w:sz w:val="21"/>
                <w:szCs w:val="21"/>
              </w:rPr>
              <w:t>应用开</w:t>
            </w:r>
          </w:p>
          <w:p>
            <w:pPr>
              <w:pStyle w:val="2"/>
              <w:widowControl/>
              <w:spacing w:beforeAutospacing="0" w:afterAutospacing="0" w:line="360" w:lineRule="atLeast"/>
              <w:jc w:val="center"/>
              <w:rPr>
                <w:rFonts w:cs="宋体" w:asciiTheme="minorEastAsia" w:hAnsiTheme="minorEastAsia"/>
                <w:b/>
                <w:bCs/>
                <w:color w:val="000000"/>
                <w:sz w:val="21"/>
                <w:szCs w:val="21"/>
              </w:rPr>
            </w:pPr>
            <w:r>
              <w:rPr>
                <w:rFonts w:hint="eastAsia" w:cs="宋体" w:asciiTheme="minorEastAsia" w:hAnsiTheme="minorEastAsia"/>
                <w:b/>
                <w:bCs/>
                <w:color w:val="000000"/>
                <w:sz w:val="21"/>
                <w:szCs w:val="21"/>
              </w:rPr>
              <w:t>始时间</w:t>
            </w:r>
          </w:p>
        </w:tc>
        <w:tc>
          <w:tcPr>
            <w:tcW w:w="975" w:type="dxa"/>
            <w:vAlign w:val="center"/>
          </w:tcPr>
          <w:p>
            <w:pPr>
              <w:pStyle w:val="2"/>
              <w:widowControl/>
              <w:spacing w:beforeAutospacing="0" w:afterAutospacing="0" w:line="360" w:lineRule="atLeast"/>
              <w:jc w:val="center"/>
              <w:rPr>
                <w:rFonts w:cs="宋体" w:asciiTheme="minorEastAsia" w:hAnsiTheme="minorEastAsia"/>
                <w:b/>
                <w:bCs/>
                <w:color w:val="000000"/>
                <w:sz w:val="21"/>
                <w:szCs w:val="21"/>
              </w:rPr>
            </w:pPr>
            <w:r>
              <w:rPr>
                <w:rFonts w:hint="eastAsia" w:cs="宋体" w:asciiTheme="minorEastAsia" w:hAnsiTheme="minorEastAsia"/>
                <w:b/>
                <w:bCs/>
                <w:color w:val="000000"/>
                <w:sz w:val="21"/>
                <w:szCs w:val="21"/>
              </w:rPr>
              <w:t>应用截止时间</w:t>
            </w:r>
          </w:p>
        </w:tc>
        <w:tc>
          <w:tcPr>
            <w:tcW w:w="1596" w:type="dxa"/>
            <w:vAlign w:val="center"/>
          </w:tcPr>
          <w:p>
            <w:pPr>
              <w:pStyle w:val="2"/>
              <w:widowControl/>
              <w:spacing w:beforeAutospacing="0" w:afterAutospacing="0" w:line="360" w:lineRule="atLeast"/>
              <w:jc w:val="center"/>
              <w:rPr>
                <w:rFonts w:cs="宋体" w:asciiTheme="minorEastAsia" w:hAnsiTheme="minorEastAsia"/>
                <w:b/>
                <w:bCs/>
                <w:color w:val="000000"/>
                <w:sz w:val="21"/>
                <w:szCs w:val="21"/>
              </w:rPr>
            </w:pPr>
            <w:r>
              <w:rPr>
                <w:rFonts w:hint="eastAsia" w:cs="宋体" w:asciiTheme="minorEastAsia" w:hAnsiTheme="minorEastAsia"/>
                <w:b/>
                <w:bCs/>
                <w:color w:val="000000"/>
                <w:sz w:val="21"/>
                <w:szCs w:val="21"/>
              </w:rPr>
              <w:t>应用单位</w:t>
            </w:r>
          </w:p>
          <w:p>
            <w:pPr>
              <w:pStyle w:val="2"/>
              <w:widowControl/>
              <w:spacing w:beforeAutospacing="0" w:afterAutospacing="0" w:line="360" w:lineRule="atLeast"/>
              <w:jc w:val="center"/>
              <w:rPr>
                <w:rFonts w:cs="宋体" w:asciiTheme="minorEastAsia" w:hAnsiTheme="minorEastAsia"/>
                <w:b/>
                <w:bCs/>
                <w:color w:val="000000"/>
                <w:sz w:val="21"/>
                <w:szCs w:val="21"/>
              </w:rPr>
            </w:pPr>
            <w:r>
              <w:rPr>
                <w:rFonts w:hint="eastAsia" w:cs="宋体" w:asciiTheme="minorEastAsia" w:hAnsiTheme="minorEastAsia"/>
                <w:b/>
                <w:bCs/>
                <w:color w:val="000000"/>
                <w:sz w:val="21"/>
                <w:szCs w:val="21"/>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jc w:val="center"/>
        </w:trPr>
        <w:tc>
          <w:tcPr>
            <w:tcW w:w="976"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1</w:t>
            </w:r>
          </w:p>
        </w:tc>
        <w:tc>
          <w:tcPr>
            <w:tcW w:w="3924"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西安交通大学第一附属医院</w:t>
            </w:r>
          </w:p>
        </w:tc>
        <w:tc>
          <w:tcPr>
            <w:tcW w:w="1410"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2017-01-01</w:t>
            </w:r>
          </w:p>
        </w:tc>
        <w:tc>
          <w:tcPr>
            <w:tcW w:w="975"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至今</w:t>
            </w:r>
          </w:p>
        </w:tc>
        <w:tc>
          <w:tcPr>
            <w:tcW w:w="1596"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李万周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976"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2</w:t>
            </w:r>
          </w:p>
        </w:tc>
        <w:tc>
          <w:tcPr>
            <w:tcW w:w="3924" w:type="dxa"/>
            <w:vAlign w:val="center"/>
          </w:tcPr>
          <w:p>
            <w:pPr>
              <w:pStyle w:val="2"/>
              <w:widowControl/>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陕西省临床检验体外诊断试剂服务部</w:t>
            </w:r>
          </w:p>
        </w:tc>
        <w:tc>
          <w:tcPr>
            <w:tcW w:w="1410"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2016-12-01</w:t>
            </w:r>
          </w:p>
        </w:tc>
        <w:tc>
          <w:tcPr>
            <w:tcW w:w="975"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至今</w:t>
            </w:r>
          </w:p>
        </w:tc>
        <w:tc>
          <w:tcPr>
            <w:tcW w:w="1596"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姚刚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jc w:val="center"/>
        </w:trPr>
        <w:tc>
          <w:tcPr>
            <w:tcW w:w="976"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3</w:t>
            </w:r>
          </w:p>
        </w:tc>
        <w:tc>
          <w:tcPr>
            <w:tcW w:w="3924" w:type="dxa"/>
            <w:vAlign w:val="center"/>
          </w:tcPr>
          <w:p>
            <w:pPr>
              <w:pStyle w:val="2"/>
              <w:widowControl/>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咸阳市中心医院</w:t>
            </w:r>
          </w:p>
        </w:tc>
        <w:tc>
          <w:tcPr>
            <w:tcW w:w="1410"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2016-12-01</w:t>
            </w:r>
          </w:p>
        </w:tc>
        <w:tc>
          <w:tcPr>
            <w:tcW w:w="975"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至今</w:t>
            </w:r>
          </w:p>
        </w:tc>
        <w:tc>
          <w:tcPr>
            <w:tcW w:w="1596"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曹红儒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4" w:hRule="atLeast"/>
          <w:jc w:val="center"/>
        </w:trPr>
        <w:tc>
          <w:tcPr>
            <w:tcW w:w="976"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4</w:t>
            </w:r>
          </w:p>
        </w:tc>
        <w:tc>
          <w:tcPr>
            <w:tcW w:w="3924" w:type="dxa"/>
            <w:vAlign w:val="center"/>
          </w:tcPr>
          <w:p>
            <w:pPr>
              <w:pStyle w:val="2"/>
              <w:widowControl/>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陕西君耀体外诊断试剂有限公司</w:t>
            </w:r>
          </w:p>
        </w:tc>
        <w:tc>
          <w:tcPr>
            <w:tcW w:w="1410"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2017-01-01</w:t>
            </w:r>
          </w:p>
        </w:tc>
        <w:tc>
          <w:tcPr>
            <w:tcW w:w="975"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至今</w:t>
            </w:r>
          </w:p>
        </w:tc>
        <w:tc>
          <w:tcPr>
            <w:tcW w:w="1596"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尹萌洁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jc w:val="center"/>
        </w:trPr>
        <w:tc>
          <w:tcPr>
            <w:tcW w:w="976"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5</w:t>
            </w:r>
          </w:p>
        </w:tc>
        <w:tc>
          <w:tcPr>
            <w:tcW w:w="3924" w:type="dxa"/>
            <w:vAlign w:val="center"/>
          </w:tcPr>
          <w:p>
            <w:pPr>
              <w:pStyle w:val="2"/>
              <w:widowControl/>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瑞康医药（陕西）医械有限公司疗器</w:t>
            </w:r>
          </w:p>
        </w:tc>
        <w:tc>
          <w:tcPr>
            <w:tcW w:w="1410"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2017-01-01</w:t>
            </w:r>
          </w:p>
        </w:tc>
        <w:tc>
          <w:tcPr>
            <w:tcW w:w="975"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至今</w:t>
            </w:r>
          </w:p>
        </w:tc>
        <w:tc>
          <w:tcPr>
            <w:tcW w:w="1596" w:type="dxa"/>
            <w:vAlign w:val="center"/>
          </w:tcPr>
          <w:p>
            <w:pPr>
              <w:pStyle w:val="2"/>
              <w:widowControl/>
              <w:spacing w:beforeAutospacing="0" w:afterAutospacing="0" w:line="360" w:lineRule="atLeast"/>
              <w:jc w:val="center"/>
              <w:rPr>
                <w:rFonts w:cs="宋体" w:asciiTheme="minorEastAsia" w:hAnsiTheme="minorEastAsia"/>
                <w:bCs/>
                <w:color w:val="000000"/>
                <w:sz w:val="21"/>
                <w:szCs w:val="21"/>
              </w:rPr>
            </w:pPr>
            <w:r>
              <w:rPr>
                <w:rFonts w:hint="eastAsia" w:cs="宋体" w:asciiTheme="minorEastAsia" w:hAnsiTheme="minorEastAsia"/>
                <w:bCs/>
                <w:color w:val="000000"/>
                <w:sz w:val="21"/>
                <w:szCs w:val="21"/>
              </w:rPr>
              <w:t>周建强</w:t>
            </w:r>
          </w:p>
        </w:tc>
      </w:tr>
    </w:tbl>
    <w:p>
      <w:pPr>
        <w:spacing w:line="360" w:lineRule="auto"/>
        <w:rPr>
          <w:rFonts w:asciiTheme="minorEastAsia" w:hAnsiTheme="minorEastAsia"/>
          <w:b/>
          <w:sz w:val="24"/>
          <w:szCs w:val="24"/>
        </w:rPr>
      </w:pPr>
      <w:r>
        <w:rPr>
          <w:rFonts w:hint="eastAsia" w:asciiTheme="minorEastAsia" w:hAnsiTheme="minorEastAsia"/>
          <w:b/>
          <w:sz w:val="24"/>
          <w:szCs w:val="24"/>
        </w:rPr>
        <w:t>4 主要知识产权和标准规范等目录：</w:t>
      </w:r>
    </w:p>
    <w:p>
      <w:pPr>
        <w:spacing w:line="360" w:lineRule="auto"/>
        <w:rPr>
          <w:rFonts w:asciiTheme="minorEastAsia" w:hAnsiTheme="minorEastAsia"/>
          <w:b/>
          <w:sz w:val="24"/>
          <w:szCs w:val="24"/>
        </w:rPr>
      </w:pPr>
      <w:r>
        <w:rPr>
          <w:rFonts w:hint="eastAsia" w:asciiTheme="minorEastAsia" w:hAnsiTheme="minorEastAsia"/>
          <w:b/>
          <w:sz w:val="24"/>
          <w:szCs w:val="24"/>
        </w:rPr>
        <w:t>4.1 论文</w:t>
      </w:r>
    </w:p>
    <w:tbl>
      <w:tblPr>
        <w:tblStyle w:val="4"/>
        <w:tblW w:w="9166" w:type="dxa"/>
        <w:jc w:val="center"/>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2931"/>
        <w:gridCol w:w="3150"/>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5"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序号</w:t>
            </w:r>
          </w:p>
        </w:tc>
        <w:tc>
          <w:tcPr>
            <w:tcW w:w="2931"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论文名称</w:t>
            </w:r>
          </w:p>
        </w:tc>
        <w:tc>
          <w:tcPr>
            <w:tcW w:w="3150" w:type="dxa"/>
            <w:vAlign w:val="center"/>
          </w:tcPr>
          <w:p>
            <w:pPr>
              <w:spacing w:line="276" w:lineRule="auto"/>
              <w:jc w:val="center"/>
              <w:rPr>
                <w:rFonts w:asciiTheme="minorEastAsia" w:hAnsiTheme="minorEastAsia"/>
                <w:b/>
                <w:bCs/>
                <w:szCs w:val="21"/>
              </w:rPr>
            </w:pPr>
            <w:r>
              <w:rPr>
                <w:rFonts w:hint="eastAsia" w:asciiTheme="minorEastAsia" w:hAnsiTheme="minorEastAsia"/>
                <w:b/>
                <w:bCs/>
                <w:szCs w:val="21"/>
              </w:rPr>
              <w:t>刊物名称、卷期及页码</w:t>
            </w:r>
          </w:p>
        </w:tc>
        <w:tc>
          <w:tcPr>
            <w:tcW w:w="2430" w:type="dxa"/>
            <w:vAlign w:val="center"/>
          </w:tcPr>
          <w:p>
            <w:pPr>
              <w:spacing w:line="276" w:lineRule="auto"/>
              <w:jc w:val="center"/>
              <w:rPr>
                <w:rFonts w:asciiTheme="minorEastAsia" w:hAnsiTheme="minorEastAsia"/>
                <w:b/>
                <w:bCs/>
                <w:szCs w:val="21"/>
              </w:rPr>
            </w:pPr>
            <w:r>
              <w:rPr>
                <w:rFonts w:hint="eastAsia" w:asciiTheme="minorEastAsia" w:hAnsiTheme="minorEastAsia"/>
                <w:b/>
                <w:bCs/>
                <w:szCs w:val="21"/>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1</w:t>
            </w:r>
          </w:p>
        </w:tc>
        <w:tc>
          <w:tcPr>
            <w:tcW w:w="293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“两票制”政策下医用耗材采供四方物流体系构建</w:t>
            </w:r>
          </w:p>
        </w:tc>
        <w:tc>
          <w:tcPr>
            <w:tcW w:w="315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中国医院管理,2017,37(12):25-27.</w:t>
            </w:r>
          </w:p>
        </w:tc>
        <w:tc>
          <w:tcPr>
            <w:tcW w:w="243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刘健,李帅帅,高敬龙,张恩科.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2</w:t>
            </w:r>
          </w:p>
        </w:tc>
        <w:tc>
          <w:tcPr>
            <w:tcW w:w="293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医用耗材物联网构建要点分析</w:t>
            </w:r>
          </w:p>
        </w:tc>
        <w:tc>
          <w:tcPr>
            <w:tcW w:w="315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中国卫生质量管理,2016,23(05):73-75.</w:t>
            </w:r>
          </w:p>
        </w:tc>
        <w:tc>
          <w:tcPr>
            <w:tcW w:w="243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李帅帅,王凤,郭惠涵,张恩科,陈世虎.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3</w:t>
            </w:r>
          </w:p>
        </w:tc>
        <w:tc>
          <w:tcPr>
            <w:tcW w:w="293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通过“三精”管理提升耗材管理质量</w:t>
            </w:r>
          </w:p>
        </w:tc>
        <w:tc>
          <w:tcPr>
            <w:tcW w:w="315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中国卫生质量管理,2018,25(05):101-103.</w:t>
            </w:r>
          </w:p>
        </w:tc>
        <w:tc>
          <w:tcPr>
            <w:tcW w:w="243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罗竫娜,高敬龙,李帅帅,惠蓉,张恩科.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4</w:t>
            </w:r>
          </w:p>
        </w:tc>
        <w:tc>
          <w:tcPr>
            <w:tcW w:w="293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医院耗材中心库的业务运行流程再造</w:t>
            </w:r>
          </w:p>
        </w:tc>
        <w:tc>
          <w:tcPr>
            <w:tcW w:w="315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中国卫生质量管理,2016,23(05):76-78.</w:t>
            </w:r>
          </w:p>
        </w:tc>
        <w:tc>
          <w:tcPr>
            <w:tcW w:w="243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曹红儒,李帅帅,张恩科,高敬龙.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5</w:t>
            </w:r>
          </w:p>
        </w:tc>
        <w:tc>
          <w:tcPr>
            <w:tcW w:w="293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直属手术耗材二级库运行技术的应用管理</w:t>
            </w:r>
          </w:p>
        </w:tc>
        <w:tc>
          <w:tcPr>
            <w:tcW w:w="315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中国卫生质量管理,2015,22(01):127-129.</w:t>
            </w:r>
          </w:p>
        </w:tc>
        <w:tc>
          <w:tcPr>
            <w:tcW w:w="243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罗竫娜,韩伟,李帅帅,张恩科.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6</w:t>
            </w:r>
          </w:p>
        </w:tc>
        <w:tc>
          <w:tcPr>
            <w:tcW w:w="293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color w:val="000000" w:themeColor="text1"/>
                <w:szCs w:val="21"/>
                <w14:textFill>
                  <w14:solidFill>
                    <w14:schemeClr w14:val="tx1"/>
                  </w14:solidFill>
                </w14:textFill>
              </w:rPr>
              <w:t>医用耗材采购管理体系建立的探究</w:t>
            </w:r>
          </w:p>
        </w:tc>
        <w:tc>
          <w:tcPr>
            <w:tcW w:w="315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color w:val="000000" w:themeColor="text1"/>
                <w:szCs w:val="21"/>
                <w14:textFill>
                  <w14:solidFill>
                    <w14:schemeClr w14:val="tx1"/>
                  </w14:solidFill>
                </w14:textFill>
              </w:rPr>
              <w:t>中国医疗设备,2016,(1):135-136.</w:t>
            </w:r>
          </w:p>
        </w:tc>
        <w:tc>
          <w:tcPr>
            <w:tcW w:w="243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color w:val="000000" w:themeColor="text1"/>
                <w:szCs w:val="21"/>
                <w14:textFill>
                  <w14:solidFill>
                    <w14:schemeClr w14:val="tx1"/>
                  </w14:solidFill>
                </w14:textFill>
              </w:rPr>
              <w:t>张恩科,李帅帅,王凤等</w:t>
            </w:r>
          </w:p>
        </w:tc>
      </w:tr>
    </w:tbl>
    <w:p>
      <w:pPr>
        <w:spacing w:line="360" w:lineRule="auto"/>
        <w:rPr>
          <w:rFonts w:asciiTheme="minorEastAsia" w:hAnsiTheme="minorEastAsia"/>
          <w:b/>
          <w:sz w:val="24"/>
          <w:szCs w:val="24"/>
        </w:rPr>
      </w:pPr>
      <w:r>
        <w:rPr>
          <w:rFonts w:hint="eastAsia" w:asciiTheme="minorEastAsia" w:hAnsiTheme="minorEastAsia"/>
          <w:b/>
          <w:sz w:val="24"/>
          <w:szCs w:val="24"/>
        </w:rPr>
        <w:t>4.2 计算机软件著作权</w:t>
      </w:r>
    </w:p>
    <w:tbl>
      <w:tblPr>
        <w:tblStyle w:val="4"/>
        <w:tblW w:w="97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
        <w:gridCol w:w="1184"/>
        <w:gridCol w:w="2130"/>
        <w:gridCol w:w="480"/>
        <w:gridCol w:w="465"/>
        <w:gridCol w:w="795"/>
        <w:gridCol w:w="1005"/>
        <w:gridCol w:w="1350"/>
        <w:gridCol w:w="1290"/>
        <w:gridCol w:w="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序号</w:t>
            </w:r>
          </w:p>
        </w:tc>
        <w:tc>
          <w:tcPr>
            <w:tcW w:w="1184"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知识产</w:t>
            </w:r>
          </w:p>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权类别</w:t>
            </w:r>
          </w:p>
        </w:tc>
        <w:tc>
          <w:tcPr>
            <w:tcW w:w="2130"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知识产权具体名称</w:t>
            </w:r>
          </w:p>
        </w:tc>
        <w:tc>
          <w:tcPr>
            <w:tcW w:w="480"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国家</w:t>
            </w:r>
          </w:p>
          <w:p>
            <w:pPr>
              <w:adjustRightInd w:val="0"/>
              <w:snapToGrid w:val="0"/>
              <w:spacing w:line="276" w:lineRule="auto"/>
              <w:jc w:val="center"/>
              <w:rPr>
                <w:rFonts w:asciiTheme="minorEastAsia" w:hAnsiTheme="minorEastAsia"/>
                <w:b/>
                <w:bCs/>
                <w:szCs w:val="21"/>
              </w:rPr>
            </w:pPr>
          </w:p>
        </w:tc>
        <w:tc>
          <w:tcPr>
            <w:tcW w:w="465"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授权号</w:t>
            </w:r>
          </w:p>
        </w:tc>
        <w:tc>
          <w:tcPr>
            <w:tcW w:w="795"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授权日期</w:t>
            </w:r>
          </w:p>
          <w:p>
            <w:pPr>
              <w:adjustRightInd w:val="0"/>
              <w:snapToGrid w:val="0"/>
              <w:spacing w:line="276" w:lineRule="auto"/>
              <w:jc w:val="center"/>
              <w:rPr>
                <w:rFonts w:asciiTheme="minorEastAsia" w:hAnsiTheme="minorEastAsia"/>
                <w:b/>
                <w:bCs/>
                <w:szCs w:val="21"/>
              </w:rPr>
            </w:pPr>
          </w:p>
        </w:tc>
        <w:tc>
          <w:tcPr>
            <w:tcW w:w="1005"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证书</w:t>
            </w:r>
          </w:p>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编号</w:t>
            </w:r>
          </w:p>
        </w:tc>
        <w:tc>
          <w:tcPr>
            <w:tcW w:w="1350"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权利人</w:t>
            </w:r>
          </w:p>
        </w:tc>
        <w:tc>
          <w:tcPr>
            <w:tcW w:w="1290"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发明人</w:t>
            </w:r>
          </w:p>
        </w:tc>
        <w:tc>
          <w:tcPr>
            <w:tcW w:w="581" w:type="dxa"/>
            <w:vAlign w:val="center"/>
          </w:tcPr>
          <w:p>
            <w:pPr>
              <w:adjustRightInd w:val="0"/>
              <w:snapToGrid w:val="0"/>
              <w:spacing w:line="276" w:lineRule="auto"/>
              <w:jc w:val="center"/>
              <w:rPr>
                <w:rFonts w:asciiTheme="minorEastAsia" w:hAnsiTheme="minorEastAsia"/>
                <w:b/>
                <w:bCs/>
                <w:szCs w:val="21"/>
              </w:rPr>
            </w:pPr>
            <w:r>
              <w:rPr>
                <w:rFonts w:hint="eastAsia" w:asciiTheme="minorEastAsia" w:hAnsiTheme="minorEastAsia"/>
                <w:b/>
                <w:bCs/>
                <w:szCs w:val="21"/>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1</w:t>
            </w:r>
          </w:p>
        </w:tc>
        <w:tc>
          <w:tcPr>
            <w:tcW w:w="1184" w:type="dxa"/>
            <w:vAlign w:val="center"/>
          </w:tcPr>
          <w:p>
            <w:pPr>
              <w:pStyle w:val="2"/>
              <w:widowControl/>
              <w:jc w:val="center"/>
              <w:rPr>
                <w:rFonts w:asciiTheme="minorEastAsia" w:hAnsiTheme="minorEastAsia"/>
                <w:bCs/>
                <w:sz w:val="21"/>
                <w:szCs w:val="21"/>
              </w:rPr>
            </w:pPr>
            <w:r>
              <w:rPr>
                <w:rFonts w:hint="eastAsia" w:asciiTheme="minorEastAsia" w:hAnsiTheme="minorEastAsia" w:cstheme="minorBidi"/>
                <w:bCs/>
                <w:kern w:val="2"/>
                <w:sz w:val="21"/>
                <w:szCs w:val="21"/>
              </w:rPr>
              <w:t>计算机软件著作权</w:t>
            </w:r>
          </w:p>
        </w:tc>
        <w:tc>
          <w:tcPr>
            <w:tcW w:w="213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天网物资供应链管理系统</w:t>
            </w:r>
          </w:p>
        </w:tc>
        <w:tc>
          <w:tcPr>
            <w:tcW w:w="48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中国</w:t>
            </w:r>
          </w:p>
        </w:tc>
        <w:tc>
          <w:tcPr>
            <w:tcW w:w="46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无</w:t>
            </w:r>
          </w:p>
        </w:tc>
        <w:tc>
          <w:tcPr>
            <w:tcW w:w="79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2017-09-26</w:t>
            </w:r>
          </w:p>
        </w:tc>
        <w:tc>
          <w:tcPr>
            <w:tcW w:w="1005" w:type="dxa"/>
            <w:vAlign w:val="center"/>
          </w:tcPr>
          <w:p>
            <w:pPr>
              <w:pStyle w:val="2"/>
              <w:widowControl/>
              <w:jc w:val="center"/>
              <w:rPr>
                <w:rFonts w:asciiTheme="minorEastAsia" w:hAnsiTheme="minorEastAsia"/>
                <w:bCs/>
                <w:sz w:val="21"/>
                <w:szCs w:val="21"/>
              </w:rPr>
            </w:pPr>
            <w:r>
              <w:rPr>
                <w:rFonts w:hint="eastAsia" w:asciiTheme="minorEastAsia" w:hAnsiTheme="minorEastAsia" w:cstheme="minorBidi"/>
                <w:bCs/>
                <w:kern w:val="2"/>
                <w:sz w:val="21"/>
                <w:szCs w:val="21"/>
              </w:rPr>
              <w:t>2132349</w:t>
            </w:r>
          </w:p>
        </w:tc>
        <w:tc>
          <w:tcPr>
            <w:tcW w:w="1350" w:type="dxa"/>
            <w:vAlign w:val="center"/>
          </w:tcPr>
          <w:p>
            <w:pPr>
              <w:pStyle w:val="2"/>
              <w:widowControl/>
              <w:jc w:val="center"/>
              <w:rPr>
                <w:rFonts w:asciiTheme="minorEastAsia" w:hAnsiTheme="minorEastAsia"/>
                <w:bCs/>
                <w:sz w:val="21"/>
                <w:szCs w:val="21"/>
              </w:rPr>
            </w:pPr>
            <w:r>
              <w:rPr>
                <w:rFonts w:asciiTheme="minorEastAsia" w:hAnsiTheme="minorEastAsia"/>
                <w:bCs/>
                <w:color w:val="000000"/>
                <w:sz w:val="21"/>
                <w:szCs w:val="21"/>
              </w:rPr>
              <w:t>天网软件股份有限公司</w:t>
            </w:r>
          </w:p>
        </w:tc>
        <w:tc>
          <w:tcPr>
            <w:tcW w:w="1290"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color w:val="000000"/>
                <w:szCs w:val="21"/>
              </w:rPr>
              <w:t>天网软件股份有限公司</w:t>
            </w:r>
          </w:p>
        </w:tc>
        <w:tc>
          <w:tcPr>
            <w:tcW w:w="58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2</w:t>
            </w:r>
          </w:p>
        </w:tc>
        <w:tc>
          <w:tcPr>
            <w:tcW w:w="1184"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计算机软件著作权</w:t>
            </w:r>
          </w:p>
        </w:tc>
        <w:tc>
          <w:tcPr>
            <w:tcW w:w="213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天网医用耗材链路规范管理及全流程信息系统</w:t>
            </w:r>
          </w:p>
        </w:tc>
        <w:tc>
          <w:tcPr>
            <w:tcW w:w="48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中国</w:t>
            </w:r>
          </w:p>
        </w:tc>
        <w:tc>
          <w:tcPr>
            <w:tcW w:w="46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无</w:t>
            </w:r>
          </w:p>
        </w:tc>
        <w:tc>
          <w:tcPr>
            <w:tcW w:w="79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2012-08-31</w:t>
            </w:r>
          </w:p>
        </w:tc>
        <w:tc>
          <w:tcPr>
            <w:tcW w:w="1005" w:type="dxa"/>
            <w:vAlign w:val="center"/>
          </w:tcPr>
          <w:p>
            <w:pPr>
              <w:pStyle w:val="2"/>
              <w:widowControl/>
              <w:jc w:val="center"/>
              <w:rPr>
                <w:rFonts w:asciiTheme="minorEastAsia" w:hAnsiTheme="minorEastAsia"/>
                <w:bCs/>
                <w:kern w:val="2"/>
                <w:sz w:val="21"/>
                <w:szCs w:val="21"/>
              </w:rPr>
            </w:pPr>
            <w:r>
              <w:rPr>
                <w:rFonts w:hint="eastAsia" w:asciiTheme="minorEastAsia" w:hAnsiTheme="minorEastAsia" w:cstheme="minorBidi"/>
                <w:bCs/>
                <w:kern w:val="2"/>
                <w:sz w:val="21"/>
                <w:szCs w:val="21"/>
              </w:rPr>
              <w:t>0449476</w:t>
            </w:r>
          </w:p>
        </w:tc>
        <w:tc>
          <w:tcPr>
            <w:tcW w:w="1350"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color w:val="000000"/>
                <w:szCs w:val="21"/>
              </w:rPr>
              <w:t>天网软件股份有限公司</w:t>
            </w:r>
          </w:p>
        </w:tc>
        <w:tc>
          <w:tcPr>
            <w:tcW w:w="1290"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color w:val="000000"/>
                <w:szCs w:val="21"/>
              </w:rPr>
              <w:t>天网软件股份有限公司</w:t>
            </w:r>
          </w:p>
        </w:tc>
        <w:tc>
          <w:tcPr>
            <w:tcW w:w="58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3</w:t>
            </w:r>
          </w:p>
        </w:tc>
        <w:tc>
          <w:tcPr>
            <w:tcW w:w="1184"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计算机软件著作权</w:t>
            </w:r>
          </w:p>
        </w:tc>
        <w:tc>
          <w:tcPr>
            <w:tcW w:w="213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天网临床医学工程管理系统</w:t>
            </w:r>
          </w:p>
        </w:tc>
        <w:tc>
          <w:tcPr>
            <w:tcW w:w="48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中国</w:t>
            </w:r>
          </w:p>
        </w:tc>
        <w:tc>
          <w:tcPr>
            <w:tcW w:w="46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无</w:t>
            </w:r>
          </w:p>
        </w:tc>
        <w:tc>
          <w:tcPr>
            <w:tcW w:w="79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2017-09-25</w:t>
            </w:r>
          </w:p>
        </w:tc>
        <w:tc>
          <w:tcPr>
            <w:tcW w:w="100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2130192</w:t>
            </w:r>
          </w:p>
        </w:tc>
        <w:tc>
          <w:tcPr>
            <w:tcW w:w="1350"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color w:val="000000"/>
                <w:szCs w:val="21"/>
              </w:rPr>
              <w:t>天网软件股份有限公司</w:t>
            </w:r>
          </w:p>
        </w:tc>
        <w:tc>
          <w:tcPr>
            <w:tcW w:w="1290"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color w:val="000000"/>
                <w:szCs w:val="21"/>
              </w:rPr>
              <w:t>天网软件股份有限公司</w:t>
            </w:r>
          </w:p>
        </w:tc>
        <w:tc>
          <w:tcPr>
            <w:tcW w:w="58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4</w:t>
            </w:r>
          </w:p>
        </w:tc>
        <w:tc>
          <w:tcPr>
            <w:tcW w:w="1184"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计算机软件著作权</w:t>
            </w:r>
          </w:p>
        </w:tc>
        <w:tc>
          <w:tcPr>
            <w:tcW w:w="2130" w:type="dxa"/>
            <w:vAlign w:val="center"/>
          </w:tcPr>
          <w:p>
            <w:pPr>
              <w:pStyle w:val="2"/>
              <w:widowControl/>
              <w:jc w:val="center"/>
              <w:rPr>
                <w:rFonts w:asciiTheme="minorEastAsia" w:hAnsiTheme="minorEastAsia"/>
                <w:bCs/>
                <w:sz w:val="21"/>
                <w:szCs w:val="21"/>
              </w:rPr>
            </w:pPr>
            <w:r>
              <w:rPr>
                <w:rFonts w:asciiTheme="minorEastAsia" w:hAnsiTheme="minorEastAsia"/>
                <w:bCs/>
                <w:color w:val="000000"/>
                <w:sz w:val="21"/>
                <w:szCs w:val="21"/>
              </w:rPr>
              <w:t>天网医用耗材目录管理系统</w:t>
            </w:r>
          </w:p>
        </w:tc>
        <w:tc>
          <w:tcPr>
            <w:tcW w:w="480"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中国</w:t>
            </w:r>
          </w:p>
        </w:tc>
        <w:tc>
          <w:tcPr>
            <w:tcW w:w="465"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无</w:t>
            </w:r>
          </w:p>
        </w:tc>
        <w:tc>
          <w:tcPr>
            <w:tcW w:w="795" w:type="dxa"/>
            <w:vAlign w:val="center"/>
          </w:tcPr>
          <w:p>
            <w:pPr>
              <w:pStyle w:val="2"/>
              <w:widowControl/>
              <w:jc w:val="center"/>
              <w:rPr>
                <w:rFonts w:asciiTheme="minorEastAsia" w:hAnsiTheme="minorEastAsia"/>
                <w:bCs/>
                <w:sz w:val="21"/>
                <w:szCs w:val="21"/>
              </w:rPr>
            </w:pPr>
            <w:r>
              <w:rPr>
                <w:rFonts w:asciiTheme="minorEastAsia" w:hAnsiTheme="minorEastAsia"/>
                <w:bCs/>
                <w:color w:val="000000"/>
                <w:sz w:val="21"/>
                <w:szCs w:val="21"/>
              </w:rPr>
              <w:t>2012-11-23</w:t>
            </w:r>
          </w:p>
        </w:tc>
        <w:tc>
          <w:tcPr>
            <w:tcW w:w="1005" w:type="dxa"/>
            <w:vAlign w:val="center"/>
          </w:tcPr>
          <w:p>
            <w:pPr>
              <w:pStyle w:val="2"/>
              <w:widowControl/>
              <w:jc w:val="center"/>
              <w:rPr>
                <w:rFonts w:asciiTheme="minorEastAsia" w:hAnsiTheme="minorEastAsia"/>
                <w:bCs/>
                <w:kern w:val="2"/>
                <w:sz w:val="21"/>
                <w:szCs w:val="21"/>
              </w:rPr>
            </w:pPr>
            <w:r>
              <w:rPr>
                <w:rFonts w:hint="eastAsia" w:asciiTheme="minorEastAsia" w:hAnsiTheme="minorEastAsia" w:cstheme="minorBidi"/>
                <w:bCs/>
                <w:kern w:val="2"/>
                <w:sz w:val="21"/>
                <w:szCs w:val="21"/>
              </w:rPr>
              <w:t>0481099</w:t>
            </w:r>
          </w:p>
        </w:tc>
        <w:tc>
          <w:tcPr>
            <w:tcW w:w="1350"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color w:val="000000"/>
                <w:szCs w:val="21"/>
              </w:rPr>
              <w:t>天网软件股份有限公司</w:t>
            </w:r>
          </w:p>
        </w:tc>
        <w:tc>
          <w:tcPr>
            <w:tcW w:w="1290" w:type="dxa"/>
            <w:vAlign w:val="center"/>
          </w:tcPr>
          <w:p>
            <w:pPr>
              <w:adjustRightInd w:val="0"/>
              <w:snapToGrid w:val="0"/>
              <w:spacing w:line="276" w:lineRule="auto"/>
              <w:jc w:val="center"/>
              <w:rPr>
                <w:rFonts w:asciiTheme="minorEastAsia" w:hAnsiTheme="minorEastAsia"/>
                <w:bCs/>
                <w:szCs w:val="21"/>
              </w:rPr>
            </w:pPr>
            <w:r>
              <w:rPr>
                <w:rFonts w:asciiTheme="minorEastAsia" w:hAnsiTheme="minorEastAsia"/>
                <w:bCs/>
                <w:color w:val="000000"/>
                <w:szCs w:val="21"/>
              </w:rPr>
              <w:t>天网软件股份有限公司</w:t>
            </w:r>
          </w:p>
        </w:tc>
        <w:tc>
          <w:tcPr>
            <w:tcW w:w="581" w:type="dxa"/>
            <w:vAlign w:val="center"/>
          </w:tcPr>
          <w:p>
            <w:pPr>
              <w:adjustRightInd w:val="0"/>
              <w:snapToGrid w:val="0"/>
              <w:spacing w:line="276" w:lineRule="auto"/>
              <w:jc w:val="center"/>
              <w:rPr>
                <w:rFonts w:asciiTheme="minorEastAsia" w:hAnsiTheme="minorEastAsia"/>
                <w:bCs/>
                <w:szCs w:val="21"/>
              </w:rPr>
            </w:pPr>
            <w:r>
              <w:rPr>
                <w:rFonts w:hint="eastAsia" w:asciiTheme="minorEastAsia" w:hAnsiTheme="minorEastAsia"/>
                <w:bCs/>
                <w:szCs w:val="21"/>
              </w:rPr>
              <w:t>有效</w:t>
            </w:r>
          </w:p>
        </w:tc>
      </w:tr>
    </w:tbl>
    <w:p>
      <w:pPr>
        <w:spacing w:line="360" w:lineRule="auto"/>
        <w:rPr>
          <w:rFonts w:asciiTheme="minorEastAsia" w:hAnsiTheme="minorEastAsia"/>
          <w:b/>
          <w:sz w:val="24"/>
          <w:szCs w:val="24"/>
        </w:rPr>
      </w:pPr>
      <w:r>
        <w:rPr>
          <w:rFonts w:hint="eastAsia" w:asciiTheme="minorEastAsia" w:hAnsiTheme="minorEastAsia"/>
          <w:b/>
          <w:sz w:val="24"/>
          <w:szCs w:val="24"/>
        </w:rPr>
        <w:t>5 完成人合作关系：</w:t>
      </w:r>
    </w:p>
    <w:tbl>
      <w:tblPr>
        <w:tblStyle w:val="3"/>
        <w:tblW w:w="9437" w:type="dxa"/>
        <w:jc w:val="center"/>
        <w:tblInd w:w="-308"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1835"/>
        <w:gridCol w:w="1472"/>
        <w:gridCol w:w="1139"/>
        <w:gridCol w:w="1502"/>
        <w:gridCol w:w="1277"/>
        <w:gridCol w:w="2212"/>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67" w:hRule="atLeast"/>
          <w:jc w:val="center"/>
        </w:trPr>
        <w:tc>
          <w:tcPr>
            <w:tcW w:w="1835" w:type="dxa"/>
            <w:tcBorders>
              <w:bottom w:val="nil"/>
              <w:right w:val="single" w:color="000000" w:sz="8" w:space="0"/>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第</w:t>
            </w:r>
            <w:r>
              <w:rPr>
                <w:rFonts w:ascii="宋体" w:hAnsi="宋体" w:cs="宋体"/>
                <w:b/>
                <w:bCs/>
                <w:color w:val="000000"/>
                <w:kern w:val="0"/>
                <w:szCs w:val="21"/>
              </w:rPr>
              <w:t>1</w:t>
            </w:r>
            <w:r>
              <w:rPr>
                <w:rFonts w:hint="eastAsia" w:ascii="宋体" w:hAnsi="宋体" w:cs="宋体"/>
                <w:b/>
                <w:bCs/>
                <w:color w:val="000000"/>
                <w:kern w:val="0"/>
                <w:szCs w:val="21"/>
              </w:rPr>
              <w:t>完成单位</w:t>
            </w:r>
          </w:p>
        </w:tc>
        <w:tc>
          <w:tcPr>
            <w:tcW w:w="7602" w:type="dxa"/>
            <w:gridSpan w:val="5"/>
            <w:tcBorders>
              <w:left w:val="nil"/>
              <w:bottom w:val="nil"/>
            </w:tcBorders>
            <w:shd w:val="clear" w:color="auto" w:fill="auto"/>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陕西省人民医院</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67" w:hRule="atLeast"/>
          <w:jc w:val="center"/>
        </w:trPr>
        <w:tc>
          <w:tcPr>
            <w:tcW w:w="1835" w:type="dxa"/>
            <w:tcBorders>
              <w:top w:val="single" w:color="000000" w:sz="8" w:space="0"/>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单位性质</w:t>
            </w:r>
          </w:p>
        </w:tc>
        <w:tc>
          <w:tcPr>
            <w:tcW w:w="2611" w:type="dxa"/>
            <w:gridSpan w:val="2"/>
            <w:tcBorders>
              <w:top w:val="single" w:color="000000" w:sz="8" w:space="0"/>
              <w:left w:val="nil"/>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事业单位</w:t>
            </w:r>
          </w:p>
        </w:tc>
        <w:tc>
          <w:tcPr>
            <w:tcW w:w="1502" w:type="dxa"/>
            <w:tcBorders>
              <w:top w:val="single" w:color="000000" w:sz="8" w:space="0"/>
              <w:left w:val="nil"/>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法定代表人</w:t>
            </w:r>
          </w:p>
        </w:tc>
        <w:tc>
          <w:tcPr>
            <w:tcW w:w="3489" w:type="dxa"/>
            <w:gridSpan w:val="2"/>
            <w:tcBorders>
              <w:top w:val="single" w:color="000000" w:sz="8" w:space="0"/>
              <w:left w:val="nil"/>
              <w:bottom w:val="nil"/>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高敬龙</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67" w:hRule="atLeast"/>
          <w:jc w:val="center"/>
        </w:trPr>
        <w:tc>
          <w:tcPr>
            <w:tcW w:w="1835" w:type="dxa"/>
            <w:tcBorders>
              <w:top w:val="single" w:color="000000" w:sz="8" w:space="0"/>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联系人</w:t>
            </w:r>
          </w:p>
        </w:tc>
        <w:tc>
          <w:tcPr>
            <w:tcW w:w="1472" w:type="dxa"/>
            <w:tcBorders>
              <w:top w:val="single" w:color="000000" w:sz="8" w:space="0"/>
              <w:left w:val="nil"/>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彭宁</w:t>
            </w:r>
          </w:p>
        </w:tc>
        <w:tc>
          <w:tcPr>
            <w:tcW w:w="1139" w:type="dxa"/>
            <w:tcBorders>
              <w:top w:val="single" w:color="000000" w:sz="8" w:space="0"/>
              <w:left w:val="nil"/>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单位电话</w:t>
            </w:r>
          </w:p>
        </w:tc>
        <w:tc>
          <w:tcPr>
            <w:tcW w:w="1502" w:type="dxa"/>
            <w:tcBorders>
              <w:top w:val="single" w:color="000000" w:sz="8" w:space="0"/>
              <w:left w:val="nil"/>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029-85249600</w:t>
            </w:r>
          </w:p>
        </w:tc>
        <w:tc>
          <w:tcPr>
            <w:tcW w:w="1277" w:type="dxa"/>
            <w:tcBorders>
              <w:top w:val="single" w:color="000000" w:sz="8" w:space="0"/>
              <w:left w:val="nil"/>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移动电话</w:t>
            </w:r>
          </w:p>
        </w:tc>
        <w:tc>
          <w:tcPr>
            <w:tcW w:w="2212" w:type="dxa"/>
            <w:tcBorders>
              <w:top w:val="single" w:color="000000" w:sz="8" w:space="0"/>
              <w:left w:val="nil"/>
              <w:bottom w:val="nil"/>
            </w:tcBorders>
            <w:shd w:val="clear" w:color="auto" w:fill="auto"/>
            <w:vAlign w:val="center"/>
          </w:tcPr>
          <w:p>
            <w:pPr>
              <w:widowControl/>
              <w:jc w:val="center"/>
              <w:rPr>
                <w:rFonts w:ascii="宋体" w:hAnsi="宋体" w:cs="宋体"/>
                <w:bCs/>
                <w:color w:val="000000"/>
                <w:kern w:val="0"/>
                <w:szCs w:val="21"/>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67" w:hRule="atLeast"/>
          <w:jc w:val="center"/>
        </w:trPr>
        <w:tc>
          <w:tcPr>
            <w:tcW w:w="1835" w:type="dxa"/>
            <w:tcBorders>
              <w:top w:val="single" w:color="000000" w:sz="8" w:space="0"/>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电子邮箱</w:t>
            </w:r>
          </w:p>
        </w:tc>
        <w:tc>
          <w:tcPr>
            <w:tcW w:w="7602" w:type="dxa"/>
            <w:gridSpan w:val="5"/>
            <w:tcBorders>
              <w:top w:val="single" w:color="000000" w:sz="8" w:space="0"/>
              <w:left w:val="nil"/>
              <w:bottom w:val="nil"/>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pengning@yeah.net</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567" w:hRule="atLeast"/>
          <w:jc w:val="center"/>
        </w:trPr>
        <w:tc>
          <w:tcPr>
            <w:tcW w:w="1835" w:type="dxa"/>
            <w:tcBorders>
              <w:top w:val="single" w:color="000000" w:sz="8" w:space="0"/>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通讯地址</w:t>
            </w:r>
          </w:p>
        </w:tc>
        <w:tc>
          <w:tcPr>
            <w:tcW w:w="4113" w:type="dxa"/>
            <w:gridSpan w:val="3"/>
            <w:tcBorders>
              <w:top w:val="single" w:color="000000" w:sz="8" w:space="0"/>
              <w:left w:val="nil"/>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西安市碑林区友谊西路256号</w:t>
            </w:r>
          </w:p>
        </w:tc>
        <w:tc>
          <w:tcPr>
            <w:tcW w:w="1277" w:type="dxa"/>
            <w:tcBorders>
              <w:top w:val="single" w:color="000000" w:sz="8" w:space="0"/>
              <w:left w:val="nil"/>
              <w:bottom w:val="nil"/>
              <w:right w:val="single" w:color="000000" w:sz="8" w:space="0"/>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邮政编码</w:t>
            </w:r>
          </w:p>
        </w:tc>
        <w:tc>
          <w:tcPr>
            <w:tcW w:w="2212" w:type="dxa"/>
            <w:tcBorders>
              <w:top w:val="single" w:color="000000" w:sz="8" w:space="0"/>
              <w:left w:val="nil"/>
              <w:bottom w:val="nil"/>
            </w:tcBorders>
            <w:shd w:val="clear" w:color="auto" w:fill="auto"/>
            <w:vAlign w:val="center"/>
          </w:tcPr>
          <w:p>
            <w:pPr>
              <w:widowControl/>
              <w:jc w:val="center"/>
              <w:rPr>
                <w:rFonts w:ascii="宋体" w:hAnsi="宋体" w:cs="宋体"/>
                <w:bCs/>
                <w:color w:val="000000"/>
                <w:kern w:val="0"/>
                <w:szCs w:val="21"/>
              </w:rPr>
            </w:pPr>
            <w:r>
              <w:rPr>
                <w:rFonts w:hint="eastAsia" w:ascii="宋体" w:hAnsi="宋体" w:cs="宋体"/>
                <w:bCs/>
                <w:color w:val="000000"/>
                <w:kern w:val="0"/>
                <w:szCs w:val="21"/>
              </w:rPr>
              <w:t>710068</w:t>
            </w:r>
            <w:r>
              <w:rPr>
                <w:rFonts w:ascii="宋体" w:hAnsi="宋体" w:cs="宋体"/>
                <w:bCs/>
                <w:color w:val="000000"/>
                <w:kern w:val="0"/>
                <w:szCs w:val="21"/>
              </w:rPr>
              <w:t>　</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90" w:hRule="atLeast"/>
          <w:jc w:val="center"/>
        </w:trPr>
        <w:tc>
          <w:tcPr>
            <w:tcW w:w="1835" w:type="dxa"/>
            <w:tcBorders>
              <w:top w:val="single" w:color="000000" w:sz="8" w:space="0"/>
              <w:bottom w:val="single" w:color="000000" w:sz="8" w:space="0"/>
              <w:right w:val="single" w:color="000000" w:sz="8" w:space="0"/>
            </w:tcBorders>
            <w:shd w:val="clear" w:color="auto" w:fill="auto"/>
            <w:vAlign w:val="center"/>
          </w:tcPr>
          <w:p>
            <w:pPr>
              <w:autoSpaceDE w:val="0"/>
              <w:autoSpaceDN w:val="0"/>
              <w:adjustRightInd w:val="0"/>
              <w:jc w:val="center"/>
              <w:rPr>
                <w:rFonts w:ascii="宋体" w:hAnsi="宋体" w:cs="宋体"/>
                <w:bCs/>
                <w:color w:val="000000" w:themeColor="text1"/>
                <w:kern w:val="0"/>
                <w:szCs w:val="21"/>
                <w14:textFill>
                  <w14:solidFill>
                    <w14:schemeClr w14:val="tx1"/>
                  </w14:solidFill>
                </w14:textFill>
              </w:rPr>
            </w:pPr>
            <w:r>
              <w:rPr>
                <w:rFonts w:hint="eastAsia" w:ascii="宋体" w:hAnsi="宋体" w:cs="Courier"/>
                <w:bCs/>
                <w:color w:val="000000"/>
                <w:kern w:val="0"/>
                <w:szCs w:val="21"/>
              </w:rPr>
              <w:t>合作完成单位</w:t>
            </w:r>
          </w:p>
        </w:tc>
        <w:tc>
          <w:tcPr>
            <w:tcW w:w="7602" w:type="dxa"/>
            <w:gridSpan w:val="5"/>
            <w:tcBorders>
              <w:top w:val="single" w:color="000000" w:sz="8" w:space="0"/>
              <w:left w:val="single" w:color="000000" w:sz="8" w:space="0"/>
              <w:bottom w:val="single" w:color="000000" w:sz="8" w:space="0"/>
            </w:tcBorders>
            <w:shd w:val="clear" w:color="auto" w:fill="auto"/>
            <w:vAlign w:val="center"/>
          </w:tcPr>
          <w:p>
            <w:pPr>
              <w:autoSpaceDE w:val="0"/>
              <w:autoSpaceDN w:val="0"/>
              <w:adjustRightInd w:val="0"/>
              <w:ind w:firstLine="405"/>
              <w:jc w:val="center"/>
              <w:rPr>
                <w:rFonts w:ascii="宋体" w:hAnsi="宋体" w:cs="宋体"/>
                <w:bCs/>
                <w:color w:val="000000"/>
                <w:kern w:val="0"/>
                <w:szCs w:val="21"/>
              </w:rPr>
            </w:pPr>
            <w:r>
              <w:rPr>
                <w:rFonts w:hint="eastAsia" w:ascii="宋体" w:hAnsi="宋体" w:cs="宋体"/>
                <w:bCs/>
                <w:color w:val="000000"/>
                <w:kern w:val="0"/>
                <w:szCs w:val="21"/>
              </w:rPr>
              <w:t>天网软件股份有限公司。</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Ex>
        <w:trPr>
          <w:trHeight w:val="1968" w:hRule="atLeast"/>
          <w:jc w:val="center"/>
        </w:trPr>
        <w:tc>
          <w:tcPr>
            <w:tcW w:w="1835" w:type="dxa"/>
            <w:tcBorders>
              <w:top w:val="single" w:color="000000" w:sz="8" w:space="0"/>
              <w:right w:val="single" w:color="000000" w:sz="8" w:space="0"/>
            </w:tcBorders>
            <w:shd w:val="clear" w:color="auto" w:fill="auto"/>
            <w:vAlign w:val="center"/>
          </w:tcPr>
          <w:p>
            <w:pPr>
              <w:widowControl/>
              <w:jc w:val="center"/>
              <w:rPr>
                <w:rFonts w:ascii="宋体" w:hAnsi="宋体" w:cs="宋体"/>
                <w:bCs/>
                <w:color w:val="000000" w:themeColor="text1"/>
                <w:kern w:val="0"/>
                <w:szCs w:val="21"/>
                <w14:textFill>
                  <w14:solidFill>
                    <w14:schemeClr w14:val="tx1"/>
                  </w14:solidFill>
                </w14:textFill>
              </w:rPr>
            </w:pPr>
            <w:r>
              <w:rPr>
                <w:rFonts w:hint="eastAsia" w:ascii="宋体" w:hAnsi="宋体" w:cs="Courier"/>
                <w:bCs/>
                <w:color w:val="000000" w:themeColor="text1"/>
                <w:kern w:val="0"/>
                <w:szCs w:val="21"/>
                <w14:textFill>
                  <w14:solidFill>
                    <w14:schemeClr w14:val="tx1"/>
                  </w14:solidFill>
                </w14:textFill>
              </w:rPr>
              <w:t>完成单位合作关系说明</w:t>
            </w:r>
          </w:p>
        </w:tc>
        <w:tc>
          <w:tcPr>
            <w:tcW w:w="7602" w:type="dxa"/>
            <w:gridSpan w:val="5"/>
            <w:tcBorders>
              <w:top w:val="single" w:color="000000" w:sz="8" w:space="0"/>
              <w:left w:val="single" w:color="000000" w:sz="8" w:space="0"/>
            </w:tcBorders>
            <w:shd w:val="clear" w:color="auto" w:fill="auto"/>
          </w:tcPr>
          <w:p>
            <w:pPr>
              <w:autoSpaceDE w:val="0"/>
              <w:autoSpaceDN w:val="0"/>
              <w:adjustRightInd w:val="0"/>
              <w:ind w:firstLine="420" w:firstLineChars="200"/>
              <w:rPr>
                <w:rFonts w:ascii="宋体" w:hAnsi="宋体" w:cs="Courier"/>
                <w:bCs/>
                <w:color w:val="000000"/>
                <w:kern w:val="0"/>
                <w:szCs w:val="21"/>
              </w:rPr>
            </w:pPr>
            <w:r>
              <w:rPr>
                <w:rFonts w:hint="eastAsia" w:ascii="宋体" w:hAnsi="宋体" w:cs="Courier"/>
                <w:bCs/>
                <w:color w:val="000000"/>
                <w:kern w:val="0"/>
                <w:szCs w:val="21"/>
              </w:rPr>
              <w:t>陕西省人民医院医院信息化系统主要提供商，与陕西省科技创新团队陕西人民医院临床工程创新团队合作十多年，完成十余项科研课题，合作申报成果两项并均获得陕西省科技三等奖。</w:t>
            </w:r>
          </w:p>
          <w:p>
            <w:pPr>
              <w:autoSpaceDE w:val="0"/>
              <w:autoSpaceDN w:val="0"/>
              <w:adjustRightInd w:val="0"/>
              <w:ind w:firstLine="420" w:firstLineChars="200"/>
              <w:rPr>
                <w:rFonts w:ascii="宋体" w:hAnsi="宋体" w:cs="Courier"/>
                <w:bCs/>
                <w:color w:val="000000"/>
                <w:kern w:val="0"/>
                <w:szCs w:val="21"/>
              </w:rPr>
            </w:pPr>
            <w:r>
              <w:rPr>
                <w:rFonts w:hint="eastAsia" w:ascii="宋体" w:hAnsi="宋体" w:cs="Courier"/>
                <w:bCs/>
                <w:color w:val="000000"/>
                <w:kern w:val="0"/>
                <w:szCs w:val="21"/>
              </w:rPr>
              <w:t>在本成果完成上，天网软件股份工程负责系统软件编程工作，承担产品转化的市场推广任务，同时建立了专业化第四方物流企业。</w:t>
            </w:r>
          </w:p>
          <w:p>
            <w:pPr>
              <w:autoSpaceDE w:val="0"/>
              <w:autoSpaceDN w:val="0"/>
              <w:adjustRightInd w:val="0"/>
              <w:ind w:firstLine="420" w:firstLineChars="200"/>
              <w:rPr>
                <w:rFonts w:ascii="宋体" w:hAnsi="宋体" w:cs="宋体"/>
                <w:bCs/>
                <w:color w:val="000000"/>
                <w:kern w:val="0"/>
                <w:szCs w:val="21"/>
              </w:rPr>
            </w:pPr>
            <w:r>
              <w:rPr>
                <w:rFonts w:hint="eastAsia" w:ascii="宋体" w:hAnsi="宋体" w:cs="Courier"/>
                <w:bCs/>
                <w:color w:val="000000"/>
                <w:kern w:val="0"/>
                <w:szCs w:val="21"/>
              </w:rPr>
              <w:t>第一完成单位与合作单位之间签订了科研合作协议书。</w:t>
            </w:r>
          </w:p>
        </w:tc>
      </w:tr>
    </w:tbl>
    <w:p>
      <w:pPr>
        <w:spacing w:line="360" w:lineRule="auto"/>
        <w:rPr>
          <w:rFonts w:asciiTheme="minorEastAsia" w:hAnsiTheme="minorEastAsia"/>
          <w:b/>
          <w:sz w:val="24"/>
          <w:szCs w:val="24"/>
        </w:rPr>
      </w:pPr>
      <w:r>
        <w:rPr>
          <w:rFonts w:hint="eastAsia" w:asciiTheme="minorEastAsia" w:hAnsiTheme="minorEastAsia"/>
          <w:b/>
          <w:sz w:val="24"/>
          <w:szCs w:val="24"/>
        </w:rPr>
        <w:t>6 提名者：</w:t>
      </w:r>
    </w:p>
    <w:p>
      <w:pPr>
        <w:spacing w:line="360" w:lineRule="auto"/>
        <w:ind w:firstLine="480" w:firstLineChars="200"/>
        <w:rPr>
          <w:sz w:val="24"/>
          <w:szCs w:val="24"/>
        </w:rPr>
      </w:pPr>
      <w:r>
        <w:rPr>
          <w:rFonts w:hint="eastAsia"/>
          <w:sz w:val="24"/>
          <w:szCs w:val="24"/>
        </w:rPr>
        <w:t>陕西省卫生健康委员会</w:t>
      </w:r>
    </w:p>
    <w:p>
      <w:pPr>
        <w:spacing w:line="360" w:lineRule="auto"/>
        <w:ind w:firstLine="480" w:firstLineChars="200"/>
        <w:rPr>
          <w:rFonts w:hint="eastAsia" w:eastAsiaTheme="minorEastAsia"/>
          <w:sz w:val="24"/>
          <w:szCs w:val="24"/>
          <w:lang w:eastAsia="zh-CN"/>
        </w:rPr>
      </w:pPr>
      <w:r>
        <w:rPr>
          <w:rFonts w:hint="eastAsia"/>
          <w:sz w:val="24"/>
          <w:szCs w:val="24"/>
          <w:lang w:val="en-US" w:eastAsia="zh-CN"/>
        </w:rPr>
        <w:t>提名意见：</w:t>
      </w:r>
      <w:r>
        <w:rPr>
          <w:rFonts w:hint="eastAsia"/>
          <w:sz w:val="24"/>
          <w:szCs w:val="24"/>
        </w:rPr>
        <w:t>拟提名陕西省科学技术进步奖</w:t>
      </w:r>
      <w:r>
        <w:rPr>
          <w:rFonts w:hint="eastAsia"/>
          <w:sz w:val="24"/>
          <w:szCs w:val="24"/>
          <w:lang w:eastAsia="zh-CN"/>
        </w:rPr>
        <w:t>。</w:t>
      </w:r>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w:altName w:val="Courier New"/>
    <w:panose1 w:val="02070409020205020404"/>
    <w:charset w:val="00"/>
    <w:family w:val="moder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F1757A"/>
    <w:rsid w:val="480117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jc w:val="left"/>
    </w:pPr>
    <w:rPr>
      <w:rFonts w:cs="Times New Roman"/>
      <w:kern w:val="0"/>
      <w:sz w:val="24"/>
    </w:rPr>
  </w:style>
  <w:style w:type="table" w:styleId="4">
    <w:name w:val="Table Grid"/>
    <w:basedOn w:val="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styleId="6">
    <w:name w:val="List Paragraph"/>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37046</dc:creator>
  <cp:lastModifiedBy>37046</cp:lastModifiedBy>
  <dcterms:modified xsi:type="dcterms:W3CDTF">2019-06-27T16:19:49Z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