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hAnsi="宋体" w:eastAsia="宋体" w:cs="Times New Roman"/>
          <w:b/>
          <w:sz w:val="28"/>
          <w:szCs w:val="28"/>
        </w:rPr>
      </w:pPr>
      <w:r>
        <w:rPr>
          <w:rFonts w:hint="eastAsia" w:ascii="宋体" w:hAnsi="宋体" w:eastAsia="宋体" w:cs="Times New Roman"/>
          <w:b/>
          <w:sz w:val="28"/>
          <w:szCs w:val="28"/>
        </w:rPr>
        <w:t>项目</w:t>
      </w:r>
      <w:r>
        <w:rPr>
          <w:rFonts w:hint="eastAsia" w:eastAsia="宋体" w:asciiTheme="minorEastAsia" w:hAnsiTheme="minorEastAsia"/>
          <w:b/>
          <w:sz w:val="28"/>
          <w:szCs w:val="28"/>
          <w:lang w:val="en-US" w:eastAsia="zh-CN"/>
        </w:rPr>
        <w:t>名称</w:t>
      </w:r>
      <w:bookmarkStart w:id="1" w:name="_GoBack"/>
      <w:bookmarkEnd w:id="1"/>
      <w:r>
        <w:rPr>
          <w:rFonts w:hint="eastAsia" w:ascii="宋体" w:hAnsi="宋体" w:eastAsia="宋体" w:cs="Times New Roman"/>
          <w:b/>
          <w:sz w:val="28"/>
          <w:szCs w:val="28"/>
        </w:rPr>
        <w:t>：基于分子病理学机制的骨与软骨肉瘤诊治的基础与临床研究</w:t>
      </w:r>
    </w:p>
    <w:p>
      <w:pPr>
        <w:spacing w:line="360" w:lineRule="auto"/>
        <w:rPr>
          <w:rFonts w:asciiTheme="minorEastAsia" w:hAnsiTheme="minorEastAsia"/>
          <w:b/>
          <w:sz w:val="24"/>
          <w:szCs w:val="24"/>
        </w:rPr>
      </w:pPr>
      <w:r>
        <w:rPr>
          <w:rFonts w:hint="eastAsia" w:ascii="宋体" w:hAnsi="宋体" w:eastAsia="宋体" w:cs="Times New Roman"/>
          <w:b/>
          <w:sz w:val="24"/>
          <w:szCs w:val="24"/>
        </w:rPr>
        <w:t>1</w:t>
      </w:r>
      <w:r>
        <w:rPr>
          <w:rFonts w:hint="eastAsia" w:asciiTheme="minorEastAsia" w:hAnsiTheme="minorEastAsia"/>
          <w:b/>
          <w:sz w:val="24"/>
          <w:szCs w:val="24"/>
        </w:rPr>
        <w:t xml:space="preserve"> </w:t>
      </w:r>
      <w:r>
        <w:rPr>
          <w:rFonts w:hint="eastAsia" w:ascii="宋体" w:hAnsi="宋体" w:eastAsia="宋体" w:cs="Times New Roman"/>
          <w:b/>
          <w:sz w:val="24"/>
          <w:szCs w:val="24"/>
        </w:rPr>
        <w:t>主要完成单位及创新推广贡献：</w:t>
      </w:r>
    </w:p>
    <w:p>
      <w:pPr>
        <w:rPr>
          <w:rFonts w:asciiTheme="minorEastAsia" w:hAnsiTheme="minorEastAsia"/>
          <w:b/>
          <w:sz w:val="24"/>
          <w:szCs w:val="24"/>
        </w:rPr>
      </w:pPr>
      <w:r>
        <w:rPr>
          <w:rFonts w:hint="eastAsia" w:asciiTheme="minorEastAsia" w:hAnsiTheme="minorEastAsia"/>
          <w:b/>
          <w:sz w:val="24"/>
          <w:szCs w:val="24"/>
        </w:rPr>
        <w:t>1.1</w:t>
      </w:r>
      <w:r>
        <w:rPr>
          <w:rFonts w:hint="eastAsia" w:ascii="宋体" w:hAnsi="宋体" w:eastAsia="宋体" w:cs="Times New Roman"/>
          <w:b/>
          <w:sz w:val="24"/>
          <w:szCs w:val="24"/>
        </w:rPr>
        <w:t>主要完成单位</w:t>
      </w:r>
      <w:r>
        <w:rPr>
          <w:rFonts w:hint="eastAsia" w:asciiTheme="minorEastAsia" w:hAnsiTheme="minorEastAsia"/>
          <w:b/>
          <w:sz w:val="24"/>
          <w:szCs w:val="24"/>
        </w:rPr>
        <w:t>：</w:t>
      </w:r>
    </w:p>
    <w:p>
      <w:pPr>
        <w:ind w:firstLine="480" w:firstLineChars="200"/>
        <w:rPr>
          <w:rFonts w:ascii="宋体" w:hAnsi="宋体" w:eastAsia="宋体" w:cs="Times New Roman"/>
          <w:b/>
          <w:sz w:val="24"/>
          <w:szCs w:val="24"/>
        </w:rPr>
      </w:pPr>
      <w:r>
        <w:rPr>
          <w:rFonts w:hint="eastAsia" w:ascii="宋体" w:hAnsi="宋体" w:eastAsia="宋体" w:cs="Times New Roman"/>
          <w:sz w:val="24"/>
          <w:szCs w:val="24"/>
        </w:rPr>
        <w:t>陕西省人民医院</w:t>
      </w:r>
    </w:p>
    <w:p>
      <w:pPr>
        <w:spacing w:line="360" w:lineRule="auto"/>
        <w:rPr>
          <w:rFonts w:asciiTheme="minorEastAsia" w:hAnsiTheme="minorEastAsia"/>
          <w:b/>
          <w:sz w:val="24"/>
          <w:szCs w:val="24"/>
        </w:rPr>
      </w:pPr>
      <w:r>
        <w:rPr>
          <w:rFonts w:hint="eastAsia" w:asciiTheme="minorEastAsia" w:hAnsiTheme="minorEastAsia"/>
          <w:b/>
          <w:sz w:val="24"/>
          <w:szCs w:val="24"/>
        </w:rPr>
        <w:t xml:space="preserve">1.2 </w:t>
      </w:r>
      <w:r>
        <w:rPr>
          <w:rFonts w:hint="eastAsia" w:ascii="宋体" w:hAnsi="宋体" w:eastAsia="宋体" w:cs="Times New Roman"/>
          <w:b/>
          <w:sz w:val="24"/>
          <w:szCs w:val="24"/>
        </w:rPr>
        <w:t>创新推广贡献：</w:t>
      </w:r>
    </w:p>
    <w:p>
      <w:pPr>
        <w:ind w:firstLine="480" w:firstLineChars="200"/>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本研究项目依托陕西省人民医院完成，发现了基因多态性对化疗后生存期的意义并首先报道了三个可被用于靶向治疗的新作用点。于2015年1月至2018年3月由陕西省人民医院组织牵头开展应用，相关研究成果先后在我省8家科研医疗机构应用，取得了良好的效果。</w:t>
      </w:r>
    </w:p>
    <w:p>
      <w:pPr>
        <w:spacing w:line="360" w:lineRule="auto"/>
        <w:rPr>
          <w:rFonts w:ascii="宋体" w:hAnsi="宋体" w:eastAsia="宋体" w:cs="Times New Roman"/>
          <w:b/>
          <w:sz w:val="24"/>
          <w:szCs w:val="24"/>
        </w:rPr>
      </w:pPr>
      <w:r>
        <w:rPr>
          <w:rFonts w:hint="eastAsia" w:ascii="宋体" w:hAnsi="宋体" w:eastAsia="宋体" w:cs="Times New Roman"/>
          <w:b/>
          <w:sz w:val="24"/>
          <w:szCs w:val="24"/>
        </w:rPr>
        <w:t>2、主要完成人情况：</w:t>
      </w:r>
    </w:p>
    <w:tbl>
      <w:tblPr>
        <w:tblStyle w:val="3"/>
        <w:tblW w:w="9356"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50"/>
        <w:gridCol w:w="1331"/>
        <w:gridCol w:w="1320"/>
        <w:gridCol w:w="1701"/>
        <w:gridCol w:w="1701"/>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710" w:type="dxa"/>
            <w:vAlign w:val="center"/>
          </w:tcPr>
          <w:p>
            <w:pPr>
              <w:adjustRightInd w:val="0"/>
              <w:snapToGrid w:val="0"/>
              <w:jc w:val="center"/>
              <w:rPr>
                <w:rFonts w:ascii="宋体" w:hAnsi="宋体" w:eastAsia="宋体" w:cs="Times New Roman"/>
                <w:b/>
                <w:bCs/>
                <w:szCs w:val="21"/>
              </w:rPr>
            </w:pPr>
            <w:r>
              <w:rPr>
                <w:rFonts w:hint="eastAsia" w:ascii="宋体" w:hAnsi="宋体" w:eastAsia="宋体" w:cs="Times New Roman"/>
                <w:b/>
                <w:bCs/>
                <w:szCs w:val="21"/>
              </w:rPr>
              <w:t>序号</w:t>
            </w:r>
          </w:p>
        </w:tc>
        <w:tc>
          <w:tcPr>
            <w:tcW w:w="850" w:type="dxa"/>
            <w:vAlign w:val="center"/>
          </w:tcPr>
          <w:p>
            <w:pPr>
              <w:adjustRightInd w:val="0"/>
              <w:snapToGrid w:val="0"/>
              <w:jc w:val="center"/>
              <w:rPr>
                <w:rFonts w:ascii="宋体" w:hAnsi="宋体" w:eastAsia="宋体" w:cs="Times New Roman"/>
                <w:b/>
                <w:bCs/>
                <w:szCs w:val="21"/>
              </w:rPr>
            </w:pPr>
            <w:r>
              <w:rPr>
                <w:rFonts w:hint="eastAsia" w:ascii="宋体" w:hAnsi="宋体" w:eastAsia="宋体" w:cs="Times New Roman"/>
                <w:b/>
                <w:bCs/>
                <w:szCs w:val="21"/>
              </w:rPr>
              <w:t>姓名</w:t>
            </w:r>
          </w:p>
        </w:tc>
        <w:tc>
          <w:tcPr>
            <w:tcW w:w="1331" w:type="dxa"/>
            <w:vAlign w:val="center"/>
          </w:tcPr>
          <w:p>
            <w:pPr>
              <w:adjustRightInd w:val="0"/>
              <w:snapToGrid w:val="0"/>
              <w:jc w:val="center"/>
              <w:rPr>
                <w:rFonts w:ascii="宋体" w:hAnsi="宋体" w:eastAsia="宋体" w:cs="Times New Roman"/>
                <w:b/>
                <w:bCs/>
                <w:szCs w:val="21"/>
              </w:rPr>
            </w:pPr>
            <w:r>
              <w:rPr>
                <w:rFonts w:hint="eastAsia" w:ascii="宋体" w:hAnsi="宋体" w:eastAsia="宋体" w:cs="Times New Roman"/>
                <w:b/>
                <w:bCs/>
                <w:szCs w:val="21"/>
              </w:rPr>
              <w:t>技术职称</w:t>
            </w:r>
          </w:p>
        </w:tc>
        <w:tc>
          <w:tcPr>
            <w:tcW w:w="1320" w:type="dxa"/>
            <w:vAlign w:val="center"/>
          </w:tcPr>
          <w:p>
            <w:pPr>
              <w:adjustRightInd w:val="0"/>
              <w:snapToGrid w:val="0"/>
              <w:jc w:val="center"/>
              <w:rPr>
                <w:rFonts w:ascii="宋体" w:hAnsi="宋体" w:eastAsia="宋体" w:cs="Times New Roman"/>
                <w:b/>
                <w:bCs/>
                <w:szCs w:val="21"/>
              </w:rPr>
            </w:pPr>
            <w:r>
              <w:rPr>
                <w:rFonts w:hint="eastAsia" w:ascii="宋体" w:hAnsi="宋体" w:eastAsia="宋体" w:cs="Times New Roman"/>
                <w:b/>
                <w:bCs/>
                <w:szCs w:val="21"/>
              </w:rPr>
              <w:t>行政职务</w:t>
            </w:r>
          </w:p>
        </w:tc>
        <w:tc>
          <w:tcPr>
            <w:tcW w:w="1701" w:type="dxa"/>
            <w:vAlign w:val="center"/>
          </w:tcPr>
          <w:p>
            <w:pPr>
              <w:adjustRightInd w:val="0"/>
              <w:snapToGrid w:val="0"/>
              <w:jc w:val="center"/>
              <w:rPr>
                <w:rFonts w:ascii="宋体" w:hAnsi="宋体" w:eastAsia="宋体" w:cs="Times New Roman"/>
                <w:b/>
                <w:bCs/>
                <w:szCs w:val="21"/>
              </w:rPr>
            </w:pPr>
            <w:r>
              <w:rPr>
                <w:rFonts w:hint="eastAsia" w:ascii="宋体" w:hAnsi="宋体" w:eastAsia="宋体" w:cs="Times New Roman"/>
                <w:b/>
                <w:bCs/>
                <w:szCs w:val="21"/>
              </w:rPr>
              <w:t>工作单位</w:t>
            </w:r>
          </w:p>
        </w:tc>
        <w:tc>
          <w:tcPr>
            <w:tcW w:w="1701" w:type="dxa"/>
            <w:vAlign w:val="center"/>
          </w:tcPr>
          <w:p>
            <w:pPr>
              <w:adjustRightInd w:val="0"/>
              <w:snapToGrid w:val="0"/>
              <w:jc w:val="center"/>
              <w:rPr>
                <w:rFonts w:ascii="宋体" w:hAnsi="宋体" w:eastAsia="宋体" w:cs="Times New Roman"/>
                <w:b/>
                <w:bCs/>
                <w:szCs w:val="21"/>
              </w:rPr>
            </w:pPr>
            <w:r>
              <w:rPr>
                <w:rFonts w:hint="eastAsia" w:ascii="宋体" w:hAnsi="宋体" w:eastAsia="宋体" w:cs="Times New Roman"/>
                <w:b/>
                <w:bCs/>
                <w:szCs w:val="21"/>
              </w:rPr>
              <w:t>完成单位</w:t>
            </w:r>
          </w:p>
        </w:tc>
        <w:tc>
          <w:tcPr>
            <w:tcW w:w="1743" w:type="dxa"/>
            <w:vAlign w:val="center"/>
          </w:tcPr>
          <w:p>
            <w:pPr>
              <w:adjustRightInd w:val="0"/>
              <w:snapToGrid w:val="0"/>
              <w:jc w:val="center"/>
              <w:rPr>
                <w:rFonts w:ascii="宋体" w:hAnsi="宋体" w:eastAsia="宋体" w:cs="Times New Roman"/>
                <w:b/>
                <w:bCs/>
                <w:szCs w:val="21"/>
              </w:rPr>
            </w:pPr>
            <w:r>
              <w:rPr>
                <w:rFonts w:hint="eastAsia" w:ascii="宋体" w:hAnsi="宋体" w:eastAsia="宋体" w:cs="Times New Roman"/>
                <w:b/>
                <w:bCs/>
                <w:szCs w:val="21"/>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1</w:t>
            </w:r>
          </w:p>
        </w:tc>
        <w:tc>
          <w:tcPr>
            <w:tcW w:w="85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刘时璋</w:t>
            </w:r>
          </w:p>
        </w:tc>
        <w:tc>
          <w:tcPr>
            <w:tcW w:w="1331"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主任医师</w:t>
            </w:r>
          </w:p>
        </w:tc>
        <w:tc>
          <w:tcPr>
            <w:tcW w:w="1320" w:type="dxa"/>
            <w:vAlign w:val="center"/>
          </w:tcPr>
          <w:p>
            <w:pPr>
              <w:jc w:val="center"/>
              <w:rPr>
                <w:rFonts w:ascii="宋体" w:hAnsi="宋体" w:eastAsia="宋体" w:cs="Times New Roman"/>
                <w:bCs/>
                <w:szCs w:val="21"/>
              </w:rPr>
            </w:pPr>
            <w:r>
              <w:rPr>
                <w:rFonts w:hint="eastAsia" w:ascii="宋体" w:hAnsi="宋体" w:eastAsia="宋体" w:cs="Times New Roman"/>
                <w:bCs/>
                <w:szCs w:val="21"/>
              </w:rPr>
              <w:t>骨科副主任</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43" w:type="dxa"/>
            <w:vAlign w:val="center"/>
          </w:tcPr>
          <w:p>
            <w:pPr>
              <w:jc w:val="center"/>
              <w:rPr>
                <w:rFonts w:ascii="宋体" w:hAnsi="宋体" w:eastAsia="宋体" w:cs="Times New Roman"/>
                <w:bCs/>
                <w:szCs w:val="21"/>
              </w:rPr>
            </w:pPr>
            <w:r>
              <w:rPr>
                <w:rFonts w:hint="eastAsia" w:ascii="宋体" w:hAnsi="宋体" w:eastAsia="宋体" w:cs="Times New Roman"/>
                <w:bCs/>
                <w:szCs w:val="21"/>
              </w:rPr>
              <w:t>总体设计、主持、实施、成文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2</w:t>
            </w:r>
          </w:p>
        </w:tc>
        <w:tc>
          <w:tcPr>
            <w:tcW w:w="85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易智</w:t>
            </w:r>
          </w:p>
        </w:tc>
        <w:tc>
          <w:tcPr>
            <w:tcW w:w="1331"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主任医师</w:t>
            </w:r>
          </w:p>
        </w:tc>
        <w:tc>
          <w:tcPr>
            <w:tcW w:w="1320" w:type="dxa"/>
            <w:vAlign w:val="center"/>
          </w:tcPr>
          <w:p>
            <w:pPr>
              <w:jc w:val="center"/>
              <w:rPr>
                <w:rFonts w:ascii="宋体" w:hAnsi="宋体" w:eastAsia="宋体" w:cs="Times New Roman"/>
                <w:bCs/>
                <w:szCs w:val="21"/>
              </w:rPr>
            </w:pPr>
            <w:r>
              <w:rPr>
                <w:rFonts w:hint="eastAsia" w:ascii="宋体" w:hAnsi="宋体" w:eastAsia="宋体" w:cs="Times New Roman"/>
                <w:bCs/>
                <w:szCs w:val="21"/>
              </w:rPr>
              <w:t>副院长</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43" w:type="dxa"/>
            <w:vAlign w:val="center"/>
          </w:tcPr>
          <w:p>
            <w:pPr>
              <w:jc w:val="center"/>
              <w:rPr>
                <w:rFonts w:ascii="宋体" w:hAnsi="宋体" w:eastAsia="宋体" w:cs="Times New Roman"/>
                <w:bCs/>
                <w:szCs w:val="21"/>
              </w:rPr>
            </w:pPr>
            <w:r>
              <w:rPr>
                <w:rFonts w:hint="eastAsia" w:ascii="宋体" w:hAnsi="宋体" w:eastAsia="宋体" w:cs="Times New Roman"/>
                <w:bCs/>
                <w:szCs w:val="21"/>
              </w:rPr>
              <w:t>项目指导、结果分析、评价论证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3</w:t>
            </w:r>
          </w:p>
        </w:tc>
        <w:tc>
          <w:tcPr>
            <w:tcW w:w="85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刘慧通</w:t>
            </w:r>
          </w:p>
        </w:tc>
        <w:tc>
          <w:tcPr>
            <w:tcW w:w="1331"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医师</w:t>
            </w:r>
          </w:p>
        </w:tc>
        <w:tc>
          <w:tcPr>
            <w:tcW w:w="1320" w:type="dxa"/>
            <w:vAlign w:val="center"/>
          </w:tcPr>
          <w:p>
            <w:pPr>
              <w:jc w:val="center"/>
              <w:rPr>
                <w:rFonts w:ascii="宋体" w:hAnsi="宋体" w:eastAsia="宋体" w:cs="Times New Roman"/>
                <w:bCs/>
                <w:szCs w:val="21"/>
              </w:rPr>
            </w:pPr>
            <w:r>
              <w:rPr>
                <w:rFonts w:hint="eastAsia" w:ascii="宋体" w:hAnsi="宋体" w:eastAsia="宋体" w:cs="Times New Roman"/>
                <w:bCs/>
                <w:szCs w:val="21"/>
              </w:rPr>
              <w:t>无</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43" w:type="dxa"/>
            <w:vAlign w:val="center"/>
          </w:tcPr>
          <w:p>
            <w:pPr>
              <w:jc w:val="center"/>
              <w:rPr>
                <w:rFonts w:ascii="宋体" w:hAnsi="宋体" w:eastAsia="宋体" w:cs="Times New Roman"/>
                <w:bCs/>
                <w:szCs w:val="21"/>
              </w:rPr>
            </w:pPr>
            <w:r>
              <w:rPr>
                <w:rFonts w:hint="eastAsia" w:ascii="宋体" w:hAnsi="宋体" w:eastAsia="宋体" w:cs="Times New Roman"/>
                <w:bCs/>
                <w:szCs w:val="21"/>
              </w:rPr>
              <w:t>组织实施、基础实验、数据采集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4</w:t>
            </w:r>
          </w:p>
        </w:tc>
        <w:tc>
          <w:tcPr>
            <w:tcW w:w="85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李竟源</w:t>
            </w:r>
          </w:p>
        </w:tc>
        <w:tc>
          <w:tcPr>
            <w:tcW w:w="1331"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主治医师</w:t>
            </w:r>
          </w:p>
        </w:tc>
        <w:tc>
          <w:tcPr>
            <w:tcW w:w="1320" w:type="dxa"/>
            <w:vAlign w:val="center"/>
          </w:tcPr>
          <w:p>
            <w:pPr>
              <w:jc w:val="center"/>
              <w:rPr>
                <w:rFonts w:ascii="宋体" w:hAnsi="宋体" w:eastAsia="宋体" w:cs="Times New Roman"/>
                <w:bCs/>
                <w:szCs w:val="21"/>
              </w:rPr>
            </w:pPr>
            <w:r>
              <w:rPr>
                <w:rFonts w:hint="eastAsia" w:ascii="宋体" w:hAnsi="宋体" w:eastAsia="宋体" w:cs="Times New Roman"/>
                <w:bCs/>
                <w:szCs w:val="21"/>
              </w:rPr>
              <w:t>无</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43" w:type="dxa"/>
            <w:vAlign w:val="center"/>
          </w:tcPr>
          <w:p>
            <w:pPr>
              <w:jc w:val="center"/>
              <w:rPr>
                <w:rFonts w:ascii="宋体" w:hAnsi="宋体" w:eastAsia="宋体" w:cs="Times New Roman"/>
                <w:bCs/>
                <w:szCs w:val="21"/>
              </w:rPr>
            </w:pPr>
            <w:r>
              <w:rPr>
                <w:rFonts w:hint="eastAsia" w:ascii="宋体" w:hAnsi="宋体" w:eastAsia="宋体" w:cs="Times New Roman"/>
                <w:bCs/>
                <w:szCs w:val="21"/>
              </w:rPr>
              <w:t>基础实验、临床资料分析、成文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adjustRightInd w:val="0"/>
              <w:snapToGrid w:val="0"/>
              <w:jc w:val="center"/>
              <w:rPr>
                <w:rFonts w:ascii="宋体" w:hAnsi="宋体" w:eastAsia="宋体" w:cs="Times New Roman"/>
                <w:bCs/>
                <w:szCs w:val="21"/>
              </w:rPr>
            </w:pPr>
            <w:r>
              <w:rPr>
                <w:rFonts w:ascii="宋体" w:hAnsi="宋体" w:eastAsia="宋体" w:cs="Times New Roman"/>
                <w:bCs/>
                <w:szCs w:val="21"/>
              </w:rPr>
              <w:t>5</w:t>
            </w:r>
          </w:p>
        </w:tc>
        <w:tc>
          <w:tcPr>
            <w:tcW w:w="85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吴学元</w:t>
            </w:r>
          </w:p>
        </w:tc>
        <w:tc>
          <w:tcPr>
            <w:tcW w:w="1331"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副主任医师</w:t>
            </w:r>
          </w:p>
        </w:tc>
        <w:tc>
          <w:tcPr>
            <w:tcW w:w="1320" w:type="dxa"/>
            <w:vAlign w:val="center"/>
          </w:tcPr>
          <w:p>
            <w:pPr>
              <w:jc w:val="center"/>
              <w:rPr>
                <w:rFonts w:ascii="宋体" w:hAnsi="宋体" w:eastAsia="宋体" w:cs="Times New Roman"/>
                <w:bCs/>
                <w:szCs w:val="21"/>
              </w:rPr>
            </w:pPr>
            <w:r>
              <w:rPr>
                <w:rFonts w:hint="eastAsia" w:ascii="宋体" w:hAnsi="宋体" w:eastAsia="宋体" w:cs="Times New Roman"/>
                <w:bCs/>
                <w:szCs w:val="21"/>
              </w:rPr>
              <w:t>无</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43" w:type="dxa"/>
            <w:vAlign w:val="center"/>
          </w:tcPr>
          <w:p>
            <w:pPr>
              <w:jc w:val="center"/>
              <w:rPr>
                <w:rFonts w:ascii="宋体" w:hAnsi="宋体" w:eastAsia="宋体" w:cs="Times New Roman"/>
                <w:bCs/>
                <w:szCs w:val="21"/>
              </w:rPr>
            </w:pPr>
            <w:r>
              <w:rPr>
                <w:rFonts w:hint="eastAsia" w:ascii="宋体" w:hAnsi="宋体" w:eastAsia="宋体" w:cs="Times New Roman"/>
                <w:bCs/>
                <w:szCs w:val="21"/>
              </w:rPr>
              <w:t>数据采集分析、项目结果评价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adjustRightInd w:val="0"/>
              <w:snapToGrid w:val="0"/>
              <w:jc w:val="center"/>
              <w:rPr>
                <w:rFonts w:ascii="宋体" w:hAnsi="宋体" w:eastAsia="宋体" w:cs="Times New Roman"/>
                <w:bCs/>
                <w:szCs w:val="21"/>
              </w:rPr>
            </w:pPr>
            <w:r>
              <w:rPr>
                <w:rFonts w:ascii="宋体" w:hAnsi="宋体" w:eastAsia="宋体" w:cs="Times New Roman"/>
                <w:bCs/>
                <w:szCs w:val="21"/>
              </w:rPr>
              <w:t>6</w:t>
            </w:r>
          </w:p>
        </w:tc>
        <w:tc>
          <w:tcPr>
            <w:tcW w:w="85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史纪元</w:t>
            </w:r>
          </w:p>
        </w:tc>
        <w:tc>
          <w:tcPr>
            <w:tcW w:w="1331"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主治医师</w:t>
            </w:r>
          </w:p>
        </w:tc>
        <w:tc>
          <w:tcPr>
            <w:tcW w:w="1320" w:type="dxa"/>
            <w:vAlign w:val="center"/>
          </w:tcPr>
          <w:p>
            <w:pPr>
              <w:jc w:val="center"/>
              <w:rPr>
                <w:rFonts w:ascii="宋体" w:hAnsi="宋体" w:eastAsia="宋体" w:cs="Times New Roman"/>
                <w:bCs/>
                <w:szCs w:val="21"/>
              </w:rPr>
            </w:pPr>
            <w:r>
              <w:rPr>
                <w:rFonts w:hint="eastAsia" w:ascii="宋体" w:hAnsi="宋体" w:eastAsia="宋体" w:cs="Times New Roman"/>
                <w:bCs/>
                <w:szCs w:val="21"/>
              </w:rPr>
              <w:t>无</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43" w:type="dxa"/>
            <w:vAlign w:val="center"/>
          </w:tcPr>
          <w:p>
            <w:pPr>
              <w:jc w:val="center"/>
              <w:rPr>
                <w:rFonts w:ascii="宋体" w:hAnsi="宋体" w:eastAsia="宋体" w:cs="Times New Roman"/>
                <w:bCs/>
                <w:szCs w:val="21"/>
              </w:rPr>
            </w:pPr>
            <w:r>
              <w:rPr>
                <w:rFonts w:hint="eastAsia" w:ascii="宋体" w:hAnsi="宋体" w:eastAsia="宋体" w:cs="Times New Roman"/>
                <w:bCs/>
                <w:szCs w:val="21"/>
              </w:rPr>
              <w:t>临床资料收集、结果讨论分析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adjustRightInd w:val="0"/>
              <w:snapToGrid w:val="0"/>
              <w:jc w:val="center"/>
              <w:rPr>
                <w:rFonts w:ascii="宋体" w:hAnsi="宋体" w:eastAsia="宋体" w:cs="Times New Roman"/>
                <w:bCs/>
                <w:szCs w:val="21"/>
              </w:rPr>
            </w:pPr>
            <w:r>
              <w:rPr>
                <w:rFonts w:ascii="宋体" w:hAnsi="宋体" w:eastAsia="宋体" w:cs="Times New Roman"/>
                <w:bCs/>
                <w:szCs w:val="21"/>
              </w:rPr>
              <w:t>7</w:t>
            </w:r>
          </w:p>
        </w:tc>
        <w:tc>
          <w:tcPr>
            <w:tcW w:w="85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许兵强</w:t>
            </w:r>
          </w:p>
        </w:tc>
        <w:tc>
          <w:tcPr>
            <w:tcW w:w="1331"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主治医师</w:t>
            </w:r>
          </w:p>
        </w:tc>
        <w:tc>
          <w:tcPr>
            <w:tcW w:w="1320" w:type="dxa"/>
            <w:vAlign w:val="center"/>
          </w:tcPr>
          <w:p>
            <w:pPr>
              <w:jc w:val="center"/>
              <w:rPr>
                <w:rFonts w:ascii="宋体" w:hAnsi="宋体" w:eastAsia="宋体" w:cs="Times New Roman"/>
                <w:bCs/>
                <w:szCs w:val="21"/>
              </w:rPr>
            </w:pPr>
            <w:r>
              <w:rPr>
                <w:rFonts w:hint="eastAsia" w:ascii="宋体" w:hAnsi="宋体" w:eastAsia="宋体" w:cs="Times New Roman"/>
                <w:bCs/>
                <w:szCs w:val="21"/>
              </w:rPr>
              <w:t>无</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43" w:type="dxa"/>
            <w:vAlign w:val="center"/>
          </w:tcPr>
          <w:p>
            <w:pPr>
              <w:jc w:val="center"/>
              <w:rPr>
                <w:rFonts w:ascii="宋体" w:hAnsi="宋体" w:eastAsia="宋体" w:cs="Times New Roman"/>
                <w:bCs/>
                <w:szCs w:val="21"/>
              </w:rPr>
            </w:pPr>
            <w:r>
              <w:rPr>
                <w:rFonts w:hint="eastAsia" w:ascii="宋体" w:hAnsi="宋体" w:eastAsia="宋体" w:cs="Times New Roman"/>
                <w:bCs/>
                <w:szCs w:val="21"/>
              </w:rPr>
              <w:t>影像采集分析、数据统计分析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adjustRightInd w:val="0"/>
              <w:snapToGrid w:val="0"/>
              <w:jc w:val="center"/>
              <w:rPr>
                <w:rFonts w:ascii="宋体" w:hAnsi="宋体" w:eastAsia="宋体" w:cs="Times New Roman"/>
                <w:bCs/>
                <w:szCs w:val="21"/>
              </w:rPr>
            </w:pPr>
            <w:r>
              <w:rPr>
                <w:rFonts w:ascii="宋体" w:hAnsi="宋体" w:eastAsia="宋体" w:cs="Times New Roman"/>
                <w:bCs/>
                <w:szCs w:val="21"/>
              </w:rPr>
              <w:t>8</w:t>
            </w:r>
          </w:p>
        </w:tc>
        <w:tc>
          <w:tcPr>
            <w:tcW w:w="85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王玺</w:t>
            </w:r>
          </w:p>
        </w:tc>
        <w:tc>
          <w:tcPr>
            <w:tcW w:w="1331"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主治医师</w:t>
            </w:r>
          </w:p>
        </w:tc>
        <w:tc>
          <w:tcPr>
            <w:tcW w:w="1320" w:type="dxa"/>
            <w:vAlign w:val="center"/>
          </w:tcPr>
          <w:p>
            <w:pPr>
              <w:jc w:val="center"/>
              <w:rPr>
                <w:rFonts w:ascii="宋体" w:hAnsi="宋体" w:eastAsia="宋体" w:cs="Times New Roman"/>
                <w:bCs/>
                <w:szCs w:val="21"/>
              </w:rPr>
            </w:pPr>
            <w:r>
              <w:rPr>
                <w:rFonts w:hint="eastAsia" w:ascii="宋体" w:hAnsi="宋体" w:eastAsia="宋体" w:cs="Times New Roman"/>
                <w:bCs/>
                <w:szCs w:val="21"/>
              </w:rPr>
              <w:t>无</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43" w:type="dxa"/>
            <w:vAlign w:val="center"/>
          </w:tcPr>
          <w:p>
            <w:pPr>
              <w:jc w:val="center"/>
              <w:rPr>
                <w:rFonts w:ascii="宋体" w:hAnsi="宋体" w:eastAsia="宋体" w:cs="Times New Roman"/>
                <w:bCs/>
                <w:szCs w:val="21"/>
              </w:rPr>
            </w:pPr>
            <w:r>
              <w:rPr>
                <w:rFonts w:hint="eastAsia" w:ascii="宋体" w:hAnsi="宋体" w:eastAsia="宋体" w:cs="Times New Roman"/>
                <w:bCs/>
                <w:szCs w:val="21"/>
              </w:rPr>
              <w:t>临床资料分析、统计学分析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adjustRightInd w:val="0"/>
              <w:snapToGrid w:val="0"/>
              <w:jc w:val="center"/>
              <w:rPr>
                <w:rFonts w:ascii="宋体" w:hAnsi="宋体" w:eastAsia="宋体" w:cs="Times New Roman"/>
                <w:bCs/>
                <w:szCs w:val="21"/>
              </w:rPr>
            </w:pPr>
            <w:r>
              <w:rPr>
                <w:rFonts w:ascii="宋体" w:hAnsi="宋体" w:eastAsia="宋体" w:cs="Times New Roman"/>
                <w:bCs/>
                <w:szCs w:val="21"/>
              </w:rPr>
              <w:t>9</w:t>
            </w:r>
          </w:p>
        </w:tc>
        <w:tc>
          <w:tcPr>
            <w:tcW w:w="850"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田昕</w:t>
            </w:r>
          </w:p>
        </w:tc>
        <w:tc>
          <w:tcPr>
            <w:tcW w:w="1331" w:type="dxa"/>
            <w:vAlign w:val="center"/>
          </w:tcPr>
          <w:p>
            <w:pPr>
              <w:adjustRightInd w:val="0"/>
              <w:snapToGrid w:val="0"/>
              <w:jc w:val="center"/>
              <w:rPr>
                <w:rFonts w:ascii="宋体" w:hAnsi="宋体" w:eastAsia="宋体" w:cs="Times New Roman"/>
                <w:bCs/>
                <w:szCs w:val="21"/>
              </w:rPr>
            </w:pPr>
            <w:r>
              <w:rPr>
                <w:rFonts w:hint="eastAsia" w:ascii="宋体" w:hAnsi="宋体" w:eastAsia="宋体" w:cs="Times New Roman"/>
                <w:bCs/>
                <w:szCs w:val="21"/>
              </w:rPr>
              <w:t>副主任护师</w:t>
            </w:r>
          </w:p>
        </w:tc>
        <w:tc>
          <w:tcPr>
            <w:tcW w:w="1320" w:type="dxa"/>
            <w:vAlign w:val="center"/>
          </w:tcPr>
          <w:p>
            <w:pPr>
              <w:jc w:val="center"/>
              <w:rPr>
                <w:rFonts w:ascii="宋体" w:hAnsi="宋体" w:eastAsia="宋体" w:cs="Times New Roman"/>
                <w:bCs/>
                <w:szCs w:val="21"/>
              </w:rPr>
            </w:pPr>
            <w:r>
              <w:rPr>
                <w:rFonts w:hint="eastAsia" w:ascii="宋体" w:hAnsi="宋体" w:eastAsia="宋体" w:cs="Times New Roman"/>
                <w:bCs/>
                <w:szCs w:val="21"/>
              </w:rPr>
              <w:t>病区护士长</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01" w:type="dxa"/>
            <w:vAlign w:val="center"/>
          </w:tcPr>
          <w:p>
            <w:pPr>
              <w:jc w:val="center"/>
              <w:rPr>
                <w:rFonts w:ascii="宋体" w:hAnsi="宋体" w:eastAsia="宋体" w:cs="Times New Roman"/>
                <w:bCs/>
                <w:szCs w:val="21"/>
              </w:rPr>
            </w:pPr>
            <w:r>
              <w:rPr>
                <w:rFonts w:hint="eastAsia" w:ascii="宋体" w:hAnsi="宋体" w:eastAsia="宋体" w:cs="Times New Roman"/>
                <w:bCs/>
                <w:szCs w:val="21"/>
              </w:rPr>
              <w:t>陕西省人民医院</w:t>
            </w:r>
          </w:p>
        </w:tc>
        <w:tc>
          <w:tcPr>
            <w:tcW w:w="1743" w:type="dxa"/>
            <w:vAlign w:val="center"/>
          </w:tcPr>
          <w:p>
            <w:pPr>
              <w:jc w:val="center"/>
              <w:rPr>
                <w:rFonts w:ascii="宋体" w:hAnsi="宋体" w:eastAsia="宋体" w:cs="Times New Roman"/>
                <w:bCs/>
                <w:szCs w:val="21"/>
              </w:rPr>
            </w:pPr>
            <w:r>
              <w:rPr>
                <w:rFonts w:hint="eastAsia" w:ascii="宋体" w:hAnsi="宋体" w:eastAsia="宋体" w:cs="Times New Roman"/>
                <w:bCs/>
                <w:szCs w:val="21"/>
              </w:rPr>
              <w:t>临床资料收集、文献回顾研究</w:t>
            </w:r>
          </w:p>
        </w:tc>
      </w:tr>
    </w:tbl>
    <w:p>
      <w:pPr>
        <w:spacing w:line="360" w:lineRule="auto"/>
        <w:rPr>
          <w:rFonts w:ascii="宋体" w:hAnsi="宋体" w:eastAsia="宋体" w:cs="Times New Roman"/>
          <w:b/>
          <w:sz w:val="24"/>
          <w:szCs w:val="24"/>
        </w:rPr>
      </w:pPr>
      <w:r>
        <w:rPr>
          <w:rFonts w:hint="eastAsia" w:ascii="宋体" w:hAnsi="宋体" w:eastAsia="宋体" w:cs="Times New Roman"/>
          <w:b/>
          <w:sz w:val="24"/>
          <w:szCs w:val="24"/>
        </w:rPr>
        <w:t>3、项目简介、客观评价及应用情况：</w:t>
      </w:r>
    </w:p>
    <w:p>
      <w:pPr>
        <w:spacing w:line="360" w:lineRule="auto"/>
        <w:rPr>
          <w:rFonts w:ascii="宋体" w:hAnsi="宋体" w:eastAsia="宋体" w:cs="Times New Roman"/>
          <w:b/>
          <w:sz w:val="24"/>
          <w:szCs w:val="24"/>
        </w:rPr>
      </w:pPr>
      <w:r>
        <w:rPr>
          <w:rFonts w:hint="eastAsia" w:ascii="宋体" w:hAnsi="宋体" w:eastAsia="宋体" w:cs="Times New Roman"/>
          <w:b/>
          <w:sz w:val="24"/>
          <w:szCs w:val="24"/>
        </w:rPr>
        <w:t>项目简介：</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发源于间叶组织的肉瘤是严重威胁患者生命健康的恶性肿瘤，其中骨肉瘤和软骨肉瘤已经成为临床上最常见的两大原发恶性骨肿瘤，严重威胁患者的生命健康。深入研究肿瘤发生发展的规律和相关调控通路，积极进行肿瘤个体化治疗，有助于为化疗和靶向治疗提供作用点，在减少化疗多药耐药性、提高分子靶向治疗精准度和有效性方面具有重要意义，进而有可能延长肿瘤患者生存时间，大力开展相关科研及应用有着重大的临床意义与社会价值。</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本研究先后研究了基因多态性对化疗后骨肉瘤患者生存期的意义、Sox家族基因在骨肉瘤及软骨肉瘤发生发展中的角色、microRNA对骨肉瘤及软骨肉瘤的调控作用以及肿瘤凋亡的机制。通过研究基因多态性对骨肉瘤化疗生存期的影响，</w:t>
      </w:r>
      <w:bookmarkStart w:id="0" w:name="_Hlk11852857"/>
      <w:r>
        <w:rPr>
          <w:rFonts w:hint="eastAsia" w:ascii="宋体" w:hAnsi="宋体" w:eastAsia="宋体" w:cs="宋体"/>
          <w:bCs/>
          <w:color w:val="000000"/>
          <w:szCs w:val="24"/>
        </w:rPr>
        <w:t>首次发现了基因多态性ABCB 1 rs128503、ABCC3rs 4148416和GSTP 1 rs 1695的变异对骨肉瘤化疗生存期的影响。发现三个可被用于靶向治疗的新作用点</w:t>
      </w:r>
      <w:bookmarkEnd w:id="0"/>
      <w:r>
        <w:rPr>
          <w:rFonts w:hint="eastAsia" w:ascii="宋体" w:hAnsi="宋体" w:eastAsia="宋体" w:cs="宋体"/>
          <w:bCs/>
          <w:color w:val="000000"/>
          <w:szCs w:val="24"/>
        </w:rPr>
        <w:t>，并首先发布于国际著名学术期刊：证实了Sox9是miR-494的直接功能靶标，发现miR-494这个肿瘤新治疗靶点和预后的生物学指标；发现miR-15a-3p为影响骨肉瘤生物学功能的标志物和调节因子；通过对凋亡调控与肿瘤之间关系的研究，发现肾上腺髓质素(ADM)通过激活MEK/ERK 1/2信号通路，部分上调Bcl-2的表达，抑制缺氧诱导的骨肉瘤细胞凋亡，ADM/ADM受体-ERK1/2/Bcl-2通路可能为诱导骨肉瘤细胞凋亡的靶向治疗新作用点。以上研究成果深入研究肿瘤发生发展的规律和相关调控通路，将有助于为辅助化疗和靶向治疗提供作用点，在减少化疗多药耐药性、提高分子靶向治疗精准度和有效性方面具有重要意义，进而可能延长肿瘤患者生存时间，具有重要的理论研究意义与临床实践价值。推广并进一步研究相关成果将有助于指导临床个体化治疗，促进化疗及靶向治疗药物的研究开发，提高临床治疗的效果。</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本项目于2010年3月至2017年</w:t>
      </w:r>
      <w:r>
        <w:rPr>
          <w:rFonts w:ascii="宋体" w:hAnsi="宋体" w:eastAsia="宋体" w:cs="宋体"/>
          <w:bCs/>
          <w:color w:val="000000"/>
          <w:szCs w:val="24"/>
        </w:rPr>
        <w:t>4</w:t>
      </w:r>
      <w:r>
        <w:rPr>
          <w:rFonts w:hint="eastAsia" w:ascii="宋体" w:hAnsi="宋体" w:eastAsia="宋体" w:cs="宋体"/>
          <w:bCs/>
          <w:color w:val="000000"/>
          <w:szCs w:val="24"/>
        </w:rPr>
        <w:t>月实施，研究发现了基因多态性对骨肉瘤化疗生存期的影响及三个可被用于靶向治疗的新作用点，于2015年1月至201</w:t>
      </w:r>
      <w:r>
        <w:rPr>
          <w:rFonts w:ascii="宋体" w:hAnsi="宋体" w:eastAsia="宋体" w:cs="宋体"/>
          <w:bCs/>
          <w:color w:val="000000"/>
          <w:szCs w:val="24"/>
        </w:rPr>
        <w:t>8</w:t>
      </w:r>
      <w:r>
        <w:rPr>
          <w:rFonts w:hint="eastAsia" w:ascii="宋体" w:hAnsi="宋体" w:eastAsia="宋体" w:cs="宋体"/>
          <w:bCs/>
          <w:color w:val="000000"/>
          <w:szCs w:val="24"/>
        </w:rPr>
        <w:t>年</w:t>
      </w:r>
      <w:r>
        <w:rPr>
          <w:rFonts w:ascii="宋体" w:hAnsi="宋体" w:eastAsia="宋体" w:cs="宋体"/>
          <w:bCs/>
          <w:color w:val="000000"/>
          <w:szCs w:val="24"/>
        </w:rPr>
        <w:t>3</w:t>
      </w:r>
      <w:r>
        <w:rPr>
          <w:rFonts w:hint="eastAsia" w:ascii="宋体" w:hAnsi="宋体" w:eastAsia="宋体" w:cs="宋体"/>
          <w:bCs/>
          <w:color w:val="000000"/>
          <w:szCs w:val="24"/>
        </w:rPr>
        <w:t>月间开展应用，进行了多项骨肉瘤和软骨肉瘤病例的实验室检查，改善了符合筛检条件病例的综合治疗方案，在多家临床单位取得了良好效果，已发表在国际著名期刊《Oncotarget》、《Tumor Biology》、《Oncology Reports》、《Current Drug Targets》等杂志上，研究成果全部被SCI收录，累计他引</w:t>
      </w:r>
      <w:r>
        <w:rPr>
          <w:rFonts w:ascii="宋体" w:hAnsi="宋体" w:eastAsia="宋体" w:cs="宋体"/>
          <w:bCs/>
          <w:color w:val="000000"/>
          <w:szCs w:val="24"/>
        </w:rPr>
        <w:t>101</w:t>
      </w:r>
      <w:r>
        <w:rPr>
          <w:rFonts w:hint="eastAsia" w:ascii="宋体" w:hAnsi="宋体" w:eastAsia="宋体" w:cs="宋体"/>
          <w:bCs/>
          <w:color w:val="000000"/>
          <w:szCs w:val="24"/>
        </w:rPr>
        <w:t>篇次，累计影响因子达2</w:t>
      </w:r>
      <w:r>
        <w:rPr>
          <w:rFonts w:ascii="宋体" w:hAnsi="宋体" w:eastAsia="宋体" w:cs="宋体"/>
          <w:bCs/>
          <w:color w:val="000000"/>
          <w:szCs w:val="24"/>
        </w:rPr>
        <w:t>9.313</w:t>
      </w:r>
      <w:r>
        <w:rPr>
          <w:rFonts w:hint="eastAsia" w:ascii="宋体" w:hAnsi="宋体" w:eastAsia="宋体" w:cs="宋体"/>
          <w:bCs/>
          <w:color w:val="000000"/>
          <w:szCs w:val="24"/>
        </w:rPr>
        <w:t>，得到同行的肯定与一致好评。</w:t>
      </w:r>
    </w:p>
    <w:p>
      <w:pPr>
        <w:autoSpaceDE w:val="0"/>
        <w:autoSpaceDN w:val="0"/>
        <w:adjustRightInd w:val="0"/>
        <w:snapToGrid w:val="0"/>
        <w:spacing w:line="276" w:lineRule="auto"/>
        <w:ind w:firstLine="482"/>
        <w:jc w:val="left"/>
        <w:rPr>
          <w:rFonts w:ascii="华文楷体" w:hAnsi="华文楷体" w:eastAsia="华文楷体" w:cs="Times New Roman"/>
          <w:b/>
          <w:sz w:val="24"/>
          <w:szCs w:val="24"/>
        </w:rPr>
      </w:pPr>
    </w:p>
    <w:p>
      <w:pPr>
        <w:spacing w:line="360" w:lineRule="auto"/>
        <w:rPr>
          <w:rFonts w:ascii="宋体" w:hAnsi="宋体" w:eastAsia="宋体" w:cs="Times New Roman"/>
          <w:b/>
          <w:sz w:val="24"/>
          <w:szCs w:val="24"/>
        </w:rPr>
      </w:pPr>
      <w:r>
        <w:rPr>
          <w:rFonts w:hint="eastAsia" w:ascii="宋体" w:hAnsi="宋体" w:eastAsia="宋体" w:cs="Times New Roman"/>
          <w:b/>
          <w:sz w:val="24"/>
          <w:szCs w:val="24"/>
        </w:rPr>
        <w:t>客观评价：</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2018年3月29日，由陕西省人民医院组织、主持，对“骨肉瘤及软骨肉瘤相关基因及调控通路的临床与分子病理学研究”科研项目进行了科技成果鉴定。鉴定委员会听取了课题组的汇报，查看技术报告、查新报告、临床应用情况等相关资料，经过答辩、质询，充分讨论后形成以下意见：</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1、鉴定资料齐全、规范、符合鉴定要求。</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2、该项目研究了基因多态性对化疗后骨肉瘤及软骨肉瘤患者生存期的意义、Sox家族基因在骨肉瘤及软骨肉瘤发生、发展中的角色以及调控肿瘤细胞凋亡的机制。明确了携带ABCB 1 rs128503等位基因患者化疗敏感性增加、生存期延长；而携带ABCC3rs 4148416和GSTP 1 rs 1695等位基因的患者对化疗的敏感性减低，化疗不良反应显著；证实了Sox9是miR-494的直接功能靶标，提示miR-494可作为软骨肉瘤治疗的新靶点及预后的评价指标；发现肾上腺髓质素(ADM)通过激活MEK/ERK 1/2信号通路，部分上调Bcl-2的表达，抑制缺氧诱导的骨肉瘤细胞凋亡，提示阻断ADM/ADM受体-ERK1/2/Bcl-2通路可作为诱导骨肉瘤细胞凋亡的新途径。</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该项目研究结果将有助于为骨肉瘤及软骨肉瘤辅助化疗和靶向治疗提供新思路，在减少化疗多药耐药性、提高分子靶向治疗精准度和有效性方面具有重要意义。相关研究结果发表SCI收录论文10篇，累积影响因子26.697，同时被8家医疗机构临床分子病理学研究应用，为今后骨肉瘤及软骨肉瘤的靶向治疗提供理论依据。</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 xml:space="preserve">综上，该项目研究成果达到  国内领先 </w:t>
      </w:r>
      <w:r>
        <w:rPr>
          <w:rFonts w:ascii="宋体" w:hAnsi="宋体" w:eastAsia="宋体" w:cs="宋体"/>
          <w:bCs/>
          <w:color w:val="000000"/>
          <w:szCs w:val="24"/>
        </w:rPr>
        <w:t xml:space="preserve"> </w:t>
      </w:r>
      <w:r>
        <w:rPr>
          <w:rFonts w:hint="eastAsia" w:ascii="宋体" w:hAnsi="宋体" w:eastAsia="宋体" w:cs="宋体"/>
          <w:bCs/>
          <w:color w:val="000000"/>
          <w:szCs w:val="24"/>
        </w:rPr>
        <w:t>水平。</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建议：提供更为详尽的临床资料，加强成果的推广应用。</w:t>
      </w:r>
    </w:p>
    <w:p>
      <w:pPr>
        <w:autoSpaceDE w:val="0"/>
        <w:autoSpaceDN w:val="0"/>
        <w:adjustRightInd w:val="0"/>
        <w:snapToGrid w:val="0"/>
        <w:spacing w:line="276" w:lineRule="auto"/>
        <w:ind w:firstLine="482"/>
        <w:jc w:val="left"/>
        <w:rPr>
          <w:rFonts w:ascii="华文楷体" w:hAnsi="华文楷体" w:eastAsia="华文楷体" w:cs="Times New Roman"/>
          <w:b/>
          <w:sz w:val="24"/>
          <w:szCs w:val="24"/>
        </w:rPr>
      </w:pPr>
    </w:p>
    <w:p>
      <w:pPr>
        <w:spacing w:line="360" w:lineRule="auto"/>
        <w:rPr>
          <w:rFonts w:ascii="宋体" w:hAnsi="宋体" w:eastAsia="宋体" w:cs="Times New Roman"/>
          <w:b/>
          <w:sz w:val="24"/>
          <w:szCs w:val="24"/>
        </w:rPr>
      </w:pPr>
      <w:r>
        <w:rPr>
          <w:rFonts w:hint="eastAsia" w:ascii="宋体" w:hAnsi="宋体" w:eastAsia="宋体" w:cs="Times New Roman"/>
          <w:b/>
          <w:sz w:val="24"/>
          <w:szCs w:val="24"/>
        </w:rPr>
        <w:t>应用情况：</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本研究项目于2015年1月至201</w:t>
      </w:r>
      <w:r>
        <w:rPr>
          <w:rFonts w:ascii="宋体" w:hAnsi="宋体" w:eastAsia="宋体" w:cs="宋体"/>
          <w:bCs/>
          <w:color w:val="000000"/>
          <w:szCs w:val="24"/>
        </w:rPr>
        <w:t>8</w:t>
      </w:r>
      <w:r>
        <w:rPr>
          <w:rFonts w:hint="eastAsia" w:ascii="宋体" w:hAnsi="宋体" w:eastAsia="宋体" w:cs="宋体"/>
          <w:bCs/>
          <w:color w:val="000000"/>
          <w:szCs w:val="24"/>
        </w:rPr>
        <w:t>年3月开展应用，相关研究成果先后在陕西省人民医院、唐都医院、西安交大一附院、西安市红会医院、陕西省肿瘤医院、延安大学附属医院、商洛市中心医院、咸阳市中心医院等8家科研医疗机构应用，进行了骨肉瘤与软骨肉瘤病例的多项实验室检查，综合分析患者情况，改良了符合筛检条件病例的综合治疗方案，取得良好的应用效果。</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以上研究成果论文已发表在国际著名期刊《Oncotarget》、《Tumor Biology》、《Oncology Reports》、《Current Drug Targets》等杂志上，研究成果全部被SCI收录，累计他引101篇次，累计影响因子达29.313。多次在国内国际会议上交流报告，通过多家基础研究与临床科研机构交流、探讨，得到同行的肯定与一致好评，具有重要的研究价值与显著的社会意义，值得进一步研究应用。</w:t>
      </w:r>
    </w:p>
    <w:p>
      <w:pPr>
        <w:autoSpaceDE w:val="0"/>
        <w:autoSpaceDN w:val="0"/>
        <w:adjustRightInd w:val="0"/>
        <w:snapToGrid w:val="0"/>
        <w:spacing w:line="276" w:lineRule="auto"/>
        <w:ind w:firstLine="482"/>
        <w:jc w:val="left"/>
        <w:rPr>
          <w:rFonts w:ascii="华文楷体" w:hAnsi="华文楷体" w:eastAsia="华文楷体" w:cs="Times New Roman"/>
          <w:b/>
          <w:sz w:val="24"/>
          <w:szCs w:val="24"/>
        </w:rPr>
      </w:pPr>
    </w:p>
    <w:p>
      <w:pPr>
        <w:spacing w:line="360" w:lineRule="auto"/>
        <w:rPr>
          <w:rFonts w:ascii="宋体" w:hAnsi="宋体" w:eastAsia="宋体" w:cs="Times New Roman"/>
          <w:b/>
          <w:sz w:val="24"/>
          <w:szCs w:val="24"/>
        </w:rPr>
      </w:pPr>
      <w:r>
        <w:rPr>
          <w:rFonts w:hint="eastAsia" w:ascii="宋体" w:hAnsi="宋体" w:eastAsia="宋体" w:cs="Times New Roman"/>
          <w:b/>
          <w:sz w:val="24"/>
          <w:szCs w:val="24"/>
        </w:rPr>
        <w:t>4</w:t>
      </w:r>
      <w:r>
        <w:rPr>
          <w:rFonts w:hint="eastAsia" w:asciiTheme="minorEastAsia" w:hAnsiTheme="minorEastAsia"/>
          <w:b/>
          <w:sz w:val="24"/>
          <w:szCs w:val="24"/>
        </w:rPr>
        <w:t xml:space="preserve"> </w:t>
      </w:r>
      <w:r>
        <w:rPr>
          <w:rFonts w:hint="eastAsia" w:ascii="宋体" w:hAnsi="宋体" w:eastAsia="宋体" w:cs="Times New Roman"/>
          <w:b/>
          <w:sz w:val="24"/>
          <w:szCs w:val="24"/>
        </w:rPr>
        <w:t>主要知识产权和标准规范等目录：</w:t>
      </w:r>
    </w:p>
    <w:tbl>
      <w:tblPr>
        <w:tblStyle w:val="3"/>
        <w:tblW w:w="9214" w:type="dxa"/>
        <w:jc w:val="center"/>
        <w:tblInd w:w="-6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3261"/>
        <w:gridCol w:w="2693"/>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09" w:type="dxa"/>
            <w:shd w:val="clear" w:color="auto" w:fill="auto"/>
            <w:vAlign w:val="center"/>
          </w:tcPr>
          <w:p>
            <w:pPr>
              <w:spacing w:line="276" w:lineRule="auto"/>
              <w:jc w:val="center"/>
              <w:rPr>
                <w:rFonts w:ascii="宋体" w:hAnsi="宋体" w:eastAsia="宋体" w:cs="Times New Roman"/>
                <w:b/>
                <w:szCs w:val="21"/>
              </w:rPr>
            </w:pPr>
            <w:r>
              <w:rPr>
                <w:rFonts w:hint="eastAsia" w:ascii="宋体" w:hAnsi="宋体" w:eastAsia="宋体" w:cs="Times New Roman"/>
                <w:b/>
                <w:szCs w:val="21"/>
              </w:rPr>
              <w:t>序号</w:t>
            </w:r>
          </w:p>
        </w:tc>
        <w:tc>
          <w:tcPr>
            <w:tcW w:w="3261" w:type="dxa"/>
            <w:shd w:val="clear" w:color="auto" w:fill="auto"/>
            <w:vAlign w:val="center"/>
          </w:tcPr>
          <w:p>
            <w:pPr>
              <w:spacing w:line="276" w:lineRule="auto"/>
              <w:jc w:val="center"/>
              <w:rPr>
                <w:rFonts w:ascii="宋体" w:hAnsi="宋体" w:eastAsia="宋体" w:cs="Times New Roman"/>
                <w:b/>
                <w:szCs w:val="21"/>
              </w:rPr>
            </w:pPr>
            <w:r>
              <w:rPr>
                <w:rFonts w:hint="eastAsia" w:ascii="宋体" w:hAnsi="宋体" w:eastAsia="宋体" w:cs="Times New Roman"/>
                <w:b/>
                <w:szCs w:val="21"/>
              </w:rPr>
              <w:t>论文名称</w:t>
            </w:r>
          </w:p>
        </w:tc>
        <w:tc>
          <w:tcPr>
            <w:tcW w:w="2693" w:type="dxa"/>
            <w:shd w:val="clear" w:color="auto" w:fill="auto"/>
            <w:vAlign w:val="center"/>
          </w:tcPr>
          <w:p>
            <w:pPr>
              <w:spacing w:line="276" w:lineRule="auto"/>
              <w:jc w:val="left"/>
              <w:rPr>
                <w:rFonts w:ascii="宋体" w:hAnsi="宋体" w:eastAsia="宋体" w:cs="Times New Roman"/>
                <w:b/>
                <w:szCs w:val="21"/>
              </w:rPr>
            </w:pPr>
            <w:r>
              <w:rPr>
                <w:rFonts w:hint="eastAsia" w:ascii="宋体" w:hAnsi="宋体" w:eastAsia="宋体" w:cs="Times New Roman"/>
                <w:b/>
                <w:szCs w:val="21"/>
              </w:rPr>
              <w:t>刊物名称、卷期及页码</w:t>
            </w:r>
          </w:p>
        </w:tc>
        <w:tc>
          <w:tcPr>
            <w:tcW w:w="2551" w:type="dxa"/>
            <w:shd w:val="clear" w:color="auto" w:fill="auto"/>
            <w:vAlign w:val="center"/>
          </w:tcPr>
          <w:p>
            <w:pPr>
              <w:spacing w:line="276" w:lineRule="auto"/>
              <w:jc w:val="center"/>
              <w:rPr>
                <w:rFonts w:ascii="宋体" w:hAnsi="宋体" w:eastAsia="宋体" w:cs="Times New Roman"/>
                <w:b/>
                <w:szCs w:val="21"/>
              </w:rPr>
            </w:pPr>
            <w:r>
              <w:rPr>
                <w:rFonts w:hint="eastAsia" w:ascii="宋体" w:hAnsi="宋体" w:eastAsia="宋体" w:cs="Times New Roman"/>
                <w:b/>
                <w:szCs w:val="21"/>
              </w:rPr>
              <w:t>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99"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1</w:t>
            </w:r>
          </w:p>
        </w:tc>
        <w:tc>
          <w:tcPr>
            <w:tcW w:w="326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Predictive potential of ABCB1, ABCC3, and GSTP1 gene polymorphisms on osteosarcoma survival after chemotherapy.</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Tumor Biology, 2014, 35(10): 9897-9904.</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Liu Shizhang, Yi Zhi, Ling Ming, Shi Jiyuan, Qiu Yusheng, Zhang Shujuan.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6"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2</w:t>
            </w:r>
          </w:p>
        </w:tc>
        <w:tc>
          <w:tcPr>
            <w:tcW w:w="326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Association between g.19163A&gt;G and g.23298T&gt;C genetic variants of osteoprotegerin gene and bone mineral density in Chinese women.</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Hormones-International Journal Of Endocrinology and Metabolism, 2013, 12(4): 578-583.</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Liu Shizhang, Yi Zhi, Ling Ming, Shi Jiyuan.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2"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3</w:t>
            </w:r>
          </w:p>
        </w:tc>
        <w:tc>
          <w:tcPr>
            <w:tcW w:w="326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The Roles of Sox Family Genes in Sarcoma.</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Current Drug Targets, 2016, 17(15): 1761-1772.</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Jingyuan Li, Jacson Shen, Kunzheng Wang, Francis Hornicek, Zhenfeng Duan.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4</w:t>
            </w:r>
          </w:p>
        </w:tc>
        <w:tc>
          <w:tcPr>
            <w:tcW w:w="3261"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MicroRNA-494 inhibits cell proliferation and invasion of chondrosarcoma cells in vivo and in vitro by directly targeting SOX9.</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Oncotarget, 2015, 6(28): 26216-26229.</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Jingyuan Li, Lijuan Wang, Zongzhi Liu, Chao Zu, Fanfan Xing, Pei Yang, Yongkang Yang, Xiaoqian Dang, Kunzheng Wang.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6"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5</w:t>
            </w:r>
          </w:p>
        </w:tc>
        <w:tc>
          <w:tcPr>
            <w:tcW w:w="3261"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Hypoxia-induced apoptosis is blocked by adrenomedullin via upregulation of Bcl-2 in human osteosarcoma cells.</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Oncology Reports, 2015, 34: 787-794.</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Xueyuan Wu, Cuipei Hao, Ming Ling, Chi-Hua Guo, Wei Ma.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6"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6</w:t>
            </w:r>
          </w:p>
        </w:tc>
        <w:tc>
          <w:tcPr>
            <w:tcW w:w="3261"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Downregulation of microRNA-15a-3p is correlated with clinical</w:t>
            </w:r>
            <w:r>
              <w:rPr>
                <w:rFonts w:hint="eastAsia" w:ascii="宋体" w:hAnsi="宋体" w:eastAsia="宋体" w:cs="Times New Roman"/>
                <w:szCs w:val="21"/>
              </w:rPr>
              <w:t xml:space="preserve"> </w:t>
            </w:r>
            <w:r>
              <w:rPr>
                <w:rFonts w:ascii="宋体" w:hAnsi="宋体" w:eastAsia="宋体" w:cs="Times New Roman"/>
                <w:szCs w:val="21"/>
              </w:rPr>
              <w:t>outcome and negatively regulates cancer proliferation and</w:t>
            </w:r>
            <w:r>
              <w:rPr>
                <w:rFonts w:hint="eastAsia" w:ascii="宋体" w:hAnsi="宋体" w:eastAsia="宋体" w:cs="Times New Roman"/>
                <w:szCs w:val="21"/>
              </w:rPr>
              <w:t xml:space="preserve"> </w:t>
            </w:r>
            <w:r>
              <w:rPr>
                <w:rFonts w:ascii="宋体" w:hAnsi="宋体" w:eastAsia="宋体" w:cs="Times New Roman"/>
                <w:szCs w:val="21"/>
              </w:rPr>
              <w:t>migration in human osteosarcoma</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Journal of Cellular Biochemistry, 2018, 119: 1215–1222.</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Jiyuan Shi, Qiang Fu, Pei Yang, Huitong Liu, Le Ji, Kunzheng Wang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6"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7</w:t>
            </w:r>
          </w:p>
        </w:tc>
        <w:tc>
          <w:tcPr>
            <w:tcW w:w="3261"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Knee Joint-Related Parameters of Kaschin-Beck Disease Measured by Digital Imaging.</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Journal of Medical Imaging and Health Informatics. 2016, 6 (6): 1389–1392.</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Liu Huitong, Yi Zhi, Ling Ming, Chang Yanhai, Tian Xin, Liu Shizhang, Zhao Ze, Wu Xiang, Qiang Hui.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6"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8</w:t>
            </w:r>
          </w:p>
        </w:tc>
        <w:tc>
          <w:tcPr>
            <w:tcW w:w="3261"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MiR-590-3p suppresses epithelial-mesenchymal transition in intrahepatic cholangiocarcinoma by inhibiting SIP1 expression.</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Oncotarget, 2017, 8(21): 34698-34708.</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Chao Zu, Shizhang Liu, Wei Cao, Zongzhi Liu, Hui Qiang, Yong Li, Chong Cheng, Le Ji, Jianhui Li and Jingyuan Li.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6"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9</w:t>
            </w:r>
          </w:p>
        </w:tc>
        <w:tc>
          <w:tcPr>
            <w:tcW w:w="3261"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Advances in epigenetic biomarker research in colorectalcancer.</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World Journal of Gastroenterology, 2014, 20(15): 4276-4287.</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Xi Wang, Yeye Kuang, Xiaotong Hu.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6" w:hRule="atLeast"/>
          <w:jc w:val="center"/>
        </w:trPr>
        <w:tc>
          <w:tcPr>
            <w:tcW w:w="709" w:type="dxa"/>
            <w:shd w:val="clear" w:color="auto" w:fill="auto"/>
            <w:vAlign w:val="center"/>
          </w:tcPr>
          <w:p>
            <w:pPr>
              <w:spacing w:line="276" w:lineRule="auto"/>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0</w:t>
            </w:r>
          </w:p>
        </w:tc>
        <w:tc>
          <w:tcPr>
            <w:tcW w:w="3261"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Modeling of internal carotid artery aneurysm and blood flow simulation.</w:t>
            </w:r>
          </w:p>
        </w:tc>
        <w:tc>
          <w:tcPr>
            <w:tcW w:w="2693" w:type="dxa"/>
            <w:shd w:val="clear" w:color="auto" w:fill="auto"/>
            <w:vAlign w:val="center"/>
          </w:tcPr>
          <w:p>
            <w:pPr>
              <w:spacing w:line="276" w:lineRule="auto"/>
              <w:jc w:val="left"/>
              <w:rPr>
                <w:rFonts w:ascii="宋体" w:hAnsi="宋体" w:eastAsia="宋体" w:cs="Times New Roman"/>
                <w:szCs w:val="21"/>
              </w:rPr>
            </w:pPr>
            <w:r>
              <w:rPr>
                <w:rFonts w:ascii="宋体" w:hAnsi="宋体" w:eastAsia="宋体" w:cs="Times New Roman"/>
                <w:szCs w:val="21"/>
              </w:rPr>
              <w:t>Technology and Health Care, 2015, 23(S1): S43-S48.</w:t>
            </w:r>
          </w:p>
        </w:tc>
        <w:tc>
          <w:tcPr>
            <w:tcW w:w="2551" w:type="dxa"/>
            <w:shd w:val="clear" w:color="auto" w:fill="auto"/>
            <w:vAlign w:val="center"/>
          </w:tcPr>
          <w:p>
            <w:pPr>
              <w:spacing w:line="276" w:lineRule="auto"/>
              <w:rPr>
                <w:rFonts w:ascii="宋体" w:hAnsi="宋体" w:eastAsia="宋体" w:cs="Times New Roman"/>
                <w:szCs w:val="21"/>
              </w:rPr>
            </w:pPr>
            <w:r>
              <w:rPr>
                <w:rFonts w:ascii="宋体" w:hAnsi="宋体" w:eastAsia="宋体" w:cs="Times New Roman"/>
                <w:szCs w:val="21"/>
              </w:rPr>
              <w:t>Bingqiang Xu, Hua Zhong, Shaoyin Duan.</w:t>
            </w:r>
          </w:p>
        </w:tc>
      </w:tr>
    </w:tbl>
    <w:p>
      <w:pPr>
        <w:spacing w:line="360" w:lineRule="auto"/>
        <w:rPr>
          <w:rFonts w:ascii="宋体" w:hAnsi="宋体" w:eastAsia="宋体" w:cs="Times New Roman"/>
          <w:b/>
          <w:sz w:val="24"/>
          <w:szCs w:val="24"/>
        </w:rPr>
      </w:pPr>
      <w:r>
        <w:rPr>
          <w:rFonts w:hint="eastAsia" w:ascii="宋体" w:hAnsi="宋体" w:eastAsia="宋体" w:cs="Times New Roman"/>
          <w:b/>
          <w:sz w:val="24"/>
          <w:szCs w:val="24"/>
        </w:rPr>
        <w:t>5</w:t>
      </w:r>
      <w:r>
        <w:rPr>
          <w:rFonts w:hint="eastAsia" w:asciiTheme="minorEastAsia" w:hAnsiTheme="minorEastAsia"/>
          <w:b/>
          <w:sz w:val="24"/>
          <w:szCs w:val="24"/>
        </w:rPr>
        <w:t xml:space="preserve"> </w:t>
      </w:r>
      <w:r>
        <w:rPr>
          <w:rFonts w:hint="eastAsia" w:ascii="宋体" w:hAnsi="宋体" w:eastAsia="宋体" w:cs="Times New Roman"/>
          <w:b/>
          <w:sz w:val="24"/>
          <w:szCs w:val="24"/>
        </w:rPr>
        <w:t>完成人合作关系：</w:t>
      </w:r>
    </w:p>
    <w:tbl>
      <w:tblPr>
        <w:tblStyle w:val="3"/>
        <w:tblW w:w="87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35"/>
        <w:gridCol w:w="2072"/>
        <w:gridCol w:w="2072"/>
        <w:gridCol w:w="1865"/>
        <w:gridCol w:w="17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3"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76" w:lineRule="auto"/>
              <w:jc w:val="center"/>
              <w:rPr>
                <w:rFonts w:ascii="宋体" w:hAnsi="宋体" w:eastAsia="宋体" w:cs="Times New Roman"/>
                <w:b/>
                <w:szCs w:val="21"/>
              </w:rPr>
            </w:pPr>
            <w:r>
              <w:rPr>
                <w:rFonts w:hint="eastAsia" w:ascii="宋体" w:hAnsi="宋体" w:eastAsia="宋体" w:cs="Times New Roman"/>
                <w:b/>
                <w:szCs w:val="21"/>
              </w:rPr>
              <w:t>姓名</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76" w:lineRule="auto"/>
              <w:jc w:val="center"/>
              <w:rPr>
                <w:rFonts w:ascii="宋体" w:hAnsi="宋体" w:eastAsia="宋体" w:cs="Times New Roman"/>
                <w:b/>
                <w:szCs w:val="21"/>
              </w:rPr>
            </w:pPr>
            <w:r>
              <w:rPr>
                <w:rFonts w:hint="eastAsia" w:ascii="宋体" w:hAnsi="宋体" w:eastAsia="宋体" w:cs="Times New Roman"/>
                <w:b/>
                <w:szCs w:val="21"/>
              </w:rPr>
              <w:t>工作单位</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76" w:lineRule="auto"/>
              <w:jc w:val="center"/>
              <w:rPr>
                <w:rFonts w:ascii="宋体" w:hAnsi="宋体" w:eastAsia="宋体" w:cs="Times New Roman"/>
                <w:b/>
                <w:szCs w:val="21"/>
              </w:rPr>
            </w:pPr>
            <w:r>
              <w:rPr>
                <w:rFonts w:hint="eastAsia" w:ascii="宋体" w:hAnsi="宋体" w:eastAsia="宋体" w:cs="Times New Roman"/>
                <w:b/>
                <w:szCs w:val="21"/>
              </w:rPr>
              <w:t>完成单位</w:t>
            </w:r>
          </w:p>
        </w:tc>
        <w:tc>
          <w:tcPr>
            <w:tcW w:w="186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76" w:lineRule="auto"/>
              <w:jc w:val="center"/>
              <w:rPr>
                <w:rFonts w:ascii="宋体" w:hAnsi="宋体" w:eastAsia="宋体" w:cs="Times New Roman"/>
                <w:b/>
                <w:szCs w:val="21"/>
              </w:rPr>
            </w:pPr>
            <w:r>
              <w:rPr>
                <w:rFonts w:hint="eastAsia" w:ascii="宋体" w:hAnsi="宋体" w:eastAsia="宋体" w:cs="Times New Roman"/>
                <w:b/>
                <w:szCs w:val="21"/>
              </w:rPr>
              <w:t>对成果的贡献</w:t>
            </w:r>
          </w:p>
        </w:tc>
        <w:tc>
          <w:tcPr>
            <w:tcW w:w="17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76" w:lineRule="auto"/>
              <w:jc w:val="center"/>
              <w:rPr>
                <w:rFonts w:ascii="宋体" w:hAnsi="宋体" w:eastAsia="宋体" w:cs="Times New Roman"/>
                <w:b/>
                <w:szCs w:val="21"/>
              </w:rPr>
            </w:pPr>
            <w:r>
              <w:rPr>
                <w:rFonts w:hint="eastAsia" w:ascii="宋体" w:hAnsi="宋体" w:eastAsia="宋体" w:cs="Times New Roman"/>
                <w:b/>
                <w:szCs w:val="21"/>
              </w:rPr>
              <w:t>合作关系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6"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刘时璋</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1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总体设计、主持、实施、成文</w:t>
            </w:r>
          </w:p>
        </w:tc>
        <w:tc>
          <w:tcPr>
            <w:tcW w:w="17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项目主持论文合著（1,</w:t>
            </w:r>
            <w:r>
              <w:rPr>
                <w:rFonts w:ascii="宋体" w:hAnsi="宋体" w:eastAsia="宋体" w:cs="Times New Roman"/>
                <w:szCs w:val="21"/>
              </w:rPr>
              <w:t>2</w:t>
            </w:r>
            <w:r>
              <w:rPr>
                <w:rFonts w:hint="eastAsia" w:ascii="宋体" w:hAnsi="宋体" w:eastAsia="宋体" w:cs="Times New Roman"/>
                <w:szCs w:val="21"/>
              </w:rPr>
              <w:t>,</w:t>
            </w:r>
            <w:r>
              <w:rPr>
                <w:rFonts w:ascii="宋体" w:hAnsi="宋体" w:eastAsia="宋体" w:cs="Times New Roman"/>
                <w:szCs w:val="21"/>
              </w:rPr>
              <w:t>7</w:t>
            </w:r>
            <w:r>
              <w:rPr>
                <w:rFonts w:hint="eastAsia" w:ascii="宋体" w:hAnsi="宋体"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6"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易智</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1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项目指导、结果分析、评价论证</w:t>
            </w:r>
          </w:p>
        </w:tc>
        <w:tc>
          <w:tcPr>
            <w:tcW w:w="17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论文合著（1,2,7）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6"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刘慧通</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1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组织实施、基础实验、数据采集</w:t>
            </w:r>
          </w:p>
        </w:tc>
        <w:tc>
          <w:tcPr>
            <w:tcW w:w="17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论文合著（6,</w:t>
            </w:r>
            <w:r>
              <w:rPr>
                <w:rFonts w:ascii="宋体" w:hAnsi="宋体" w:eastAsia="宋体" w:cs="Times New Roman"/>
                <w:szCs w:val="21"/>
              </w:rPr>
              <w:t>7</w:t>
            </w:r>
            <w:r>
              <w:rPr>
                <w:rFonts w:hint="eastAsia" w:ascii="宋体" w:hAnsi="宋体"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6"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李竟源</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1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基础实验、临床资料分析、成文</w:t>
            </w:r>
          </w:p>
        </w:tc>
        <w:tc>
          <w:tcPr>
            <w:tcW w:w="17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论文合著（3,</w:t>
            </w:r>
            <w:r>
              <w:rPr>
                <w:rFonts w:ascii="宋体" w:hAnsi="宋体" w:eastAsia="宋体" w:cs="Times New Roman"/>
                <w:szCs w:val="21"/>
              </w:rPr>
              <w:t>4</w:t>
            </w:r>
            <w:r>
              <w:rPr>
                <w:rFonts w:hint="eastAsia" w:ascii="宋体" w:hAnsi="宋体" w:eastAsia="宋体" w:cs="Times New Roman"/>
                <w:szCs w:val="21"/>
              </w:rPr>
              <w:t>,</w:t>
            </w:r>
            <w:r>
              <w:rPr>
                <w:rFonts w:ascii="宋体" w:hAnsi="宋体" w:eastAsia="宋体" w:cs="Times New Roman"/>
                <w:szCs w:val="21"/>
              </w:rPr>
              <w:t>8</w:t>
            </w:r>
            <w:r>
              <w:rPr>
                <w:rFonts w:hint="eastAsia" w:ascii="宋体" w:hAnsi="宋体"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1"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吴学元</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1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数据采集分析、项目结果评价</w:t>
            </w:r>
          </w:p>
        </w:tc>
        <w:tc>
          <w:tcPr>
            <w:tcW w:w="17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论文合著（5）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1"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史纪元</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1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临床资料收集、结果讨论分析</w:t>
            </w:r>
          </w:p>
        </w:tc>
        <w:tc>
          <w:tcPr>
            <w:tcW w:w="17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论文合著（1,</w:t>
            </w:r>
            <w:r>
              <w:rPr>
                <w:rFonts w:ascii="宋体" w:hAnsi="宋体" w:eastAsia="宋体" w:cs="Times New Roman"/>
                <w:szCs w:val="21"/>
              </w:rPr>
              <w:t>2</w:t>
            </w:r>
            <w:r>
              <w:rPr>
                <w:rFonts w:hint="eastAsia" w:ascii="宋体" w:hAnsi="宋体" w:eastAsia="宋体" w:cs="Times New Roman"/>
                <w:szCs w:val="21"/>
              </w:rPr>
              <w:t>,</w:t>
            </w:r>
            <w:r>
              <w:rPr>
                <w:rFonts w:ascii="宋体" w:hAnsi="宋体" w:eastAsia="宋体" w:cs="Times New Roman"/>
                <w:szCs w:val="21"/>
              </w:rPr>
              <w:t>6</w:t>
            </w:r>
            <w:r>
              <w:rPr>
                <w:rFonts w:hint="eastAsia" w:ascii="宋体" w:hAnsi="宋体"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6"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许兵强</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1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影像采集分析、数据统计分析</w:t>
            </w:r>
          </w:p>
        </w:tc>
        <w:tc>
          <w:tcPr>
            <w:tcW w:w="17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论文合著（1</w:t>
            </w:r>
            <w:r>
              <w:rPr>
                <w:rFonts w:ascii="宋体" w:hAnsi="宋体" w:eastAsia="宋体" w:cs="Times New Roman"/>
                <w:szCs w:val="21"/>
              </w:rPr>
              <w:t>0</w:t>
            </w:r>
            <w:r>
              <w:rPr>
                <w:rFonts w:hint="eastAsia" w:ascii="宋体" w:hAnsi="宋体"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6"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王玺</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1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临床资料分析、统计学分析</w:t>
            </w:r>
          </w:p>
        </w:tc>
        <w:tc>
          <w:tcPr>
            <w:tcW w:w="17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论文合著（9）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0" w:hRule="atLeast"/>
          <w:jc w:val="center"/>
        </w:trPr>
        <w:tc>
          <w:tcPr>
            <w:tcW w:w="103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田昕</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20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陕西省人民医院</w:t>
            </w:r>
          </w:p>
        </w:tc>
        <w:tc>
          <w:tcPr>
            <w:tcW w:w="1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临床资料收集、文献回顾研究</w:t>
            </w:r>
          </w:p>
        </w:tc>
        <w:tc>
          <w:tcPr>
            <w:tcW w:w="17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szCs w:val="21"/>
              </w:rPr>
            </w:pPr>
            <w:r>
              <w:rPr>
                <w:rFonts w:hint="eastAsia" w:ascii="宋体" w:hAnsi="宋体" w:eastAsia="宋体" w:cs="Times New Roman"/>
                <w:szCs w:val="21"/>
              </w:rPr>
              <w:t>论文合著（7）</w:t>
            </w:r>
          </w:p>
        </w:tc>
      </w:tr>
    </w:tbl>
    <w:p>
      <w:pPr>
        <w:spacing w:line="360" w:lineRule="auto"/>
        <w:rPr>
          <w:rFonts w:asciiTheme="minorEastAsia" w:hAnsiTheme="minorEastAsia"/>
          <w:b/>
          <w:sz w:val="24"/>
          <w:szCs w:val="24"/>
        </w:rPr>
      </w:pPr>
      <w:r>
        <w:rPr>
          <w:rFonts w:hint="eastAsia" w:asciiTheme="minorEastAsia" w:hAnsiTheme="minorEastAsia"/>
          <w:b/>
          <w:sz w:val="24"/>
          <w:szCs w:val="24"/>
        </w:rPr>
        <w:t>6 提名者：</w:t>
      </w:r>
    </w:p>
    <w:p>
      <w:pPr>
        <w:spacing w:line="360" w:lineRule="auto"/>
        <w:ind w:firstLine="480" w:firstLineChars="200"/>
        <w:rPr>
          <w:sz w:val="24"/>
          <w:szCs w:val="24"/>
        </w:rPr>
      </w:pPr>
      <w:r>
        <w:rPr>
          <w:rFonts w:hint="eastAsia"/>
          <w:sz w:val="24"/>
          <w:szCs w:val="24"/>
        </w:rPr>
        <w:t>陕西省卫生健康委员会</w:t>
      </w:r>
    </w:p>
    <w:p>
      <w:pPr>
        <w:widowControl/>
        <w:jc w:val="left"/>
      </w:pPr>
      <w:r>
        <w:rPr>
          <w:rFonts w:hint="eastAsia"/>
          <w:sz w:val="24"/>
          <w:szCs w:val="24"/>
          <w:lang w:val="en-US" w:eastAsia="zh-CN"/>
        </w:rPr>
        <w:t>提名意见：</w:t>
      </w:r>
      <w:r>
        <w:rPr>
          <w:rFonts w:hint="eastAsia"/>
          <w:sz w:val="24"/>
          <w:szCs w:val="24"/>
        </w:rPr>
        <w:t>拟提名陕西省科学技术进步奖</w:t>
      </w:r>
      <w:r>
        <w:rPr>
          <w:rFonts w:hint="eastAsia"/>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230B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37046</dc:creator>
  <cp:lastModifiedBy>37046</cp:lastModifiedBy>
  <dcterms:modified xsi:type="dcterms:W3CDTF">2019-06-27T16:18:47Z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