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附件 </w:t>
      </w:r>
    </w:p>
    <w:p>
      <w:pPr>
        <w:spacing w:after="0" w:line="560" w:lineRule="exact"/>
        <w:jc w:val="both"/>
        <w:rPr>
          <w:rFonts w:hint="eastAsia" w:ascii="方正小标宋简体" w:hAnsi="方正小标宋简体" w:eastAsia="方正小标宋简体" w:cs="方正小标宋简体"/>
          <w:color w:val="auto"/>
          <w:sz w:val="44"/>
          <w:szCs w:val="44"/>
        </w:rPr>
      </w:pPr>
    </w:p>
    <w:p>
      <w:pPr>
        <w:spacing w:after="0" w:line="560" w:lineRule="exact"/>
        <w:jc w:val="center"/>
        <w:rPr>
          <w:rFonts w:hint="eastAsia" w:ascii="方正小标宋简体" w:hAnsi="方正小标宋简体" w:eastAsia="方正小标宋简体" w:cs="方正小标宋简体"/>
          <w:color w:val="auto"/>
          <w:sz w:val="44"/>
          <w:szCs w:val="44"/>
        </w:rPr>
      </w:pPr>
      <w:bookmarkStart w:id="0" w:name="OLE_LINK4"/>
      <w:r>
        <w:rPr>
          <w:rFonts w:hint="eastAsia" w:ascii="方正小标宋简体" w:hAnsi="方正小标宋简体" w:eastAsia="方正小标宋简体" w:cs="方正小标宋简体"/>
          <w:color w:val="auto"/>
          <w:sz w:val="44"/>
          <w:szCs w:val="44"/>
        </w:rPr>
        <w:t>陕西省特需医疗服务管理办法</w:t>
      </w:r>
      <w:bookmarkEnd w:id="0"/>
    </w:p>
    <w:p>
      <w:pPr>
        <w:spacing w:after="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bCs/>
          <w:color w:val="auto"/>
          <w:sz w:val="44"/>
          <w:szCs w:val="44"/>
        </w:rPr>
        <w:t>征求意见稿</w:t>
      </w:r>
      <w:r>
        <w:rPr>
          <w:rFonts w:hint="eastAsia" w:ascii="方正小标宋简体" w:hAnsi="方正小标宋简体" w:eastAsia="方正小标宋简体" w:cs="方正小标宋简体"/>
          <w:color w:val="auto"/>
          <w:sz w:val="44"/>
          <w:szCs w:val="44"/>
        </w:rPr>
        <w:t>）</w:t>
      </w:r>
    </w:p>
    <w:p>
      <w:pPr>
        <w:spacing w:after="0" w:line="560" w:lineRule="exact"/>
        <w:jc w:val="center"/>
        <w:rPr>
          <w:rFonts w:hint="eastAsia" w:ascii="方正小标宋简体" w:hAnsi="方正小标宋简体" w:eastAsia="方正小标宋简体" w:cs="方正小标宋简体"/>
          <w:color w:val="auto"/>
          <w:sz w:val="44"/>
          <w:szCs w:val="44"/>
        </w:rPr>
      </w:pPr>
    </w:p>
    <w:p>
      <w:pPr>
        <w:pStyle w:val="36"/>
        <w:numPr>
          <w:ilvl w:val="0"/>
          <w:numId w:val="1"/>
        </w:numPr>
        <w:spacing w:before="156" w:beforeLines="50" w:after="156" w:afterLines="50" w:line="560" w:lineRule="exact"/>
        <w:ind w:left="0"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总 则</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为规范我省公立医疗机构特需医疗服务管理，根据国务院办公厅《关于推动公立医院高质量发展的意见》（国办发〔2021〕18号）和国家医疗保障局等八部门《深化医疗服务价格改革试点方案》（医保发〔2021〕41号）以及相关文件，结合我省实际，特制订本办法。</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本办法所称的公立医疗机构特需医疗服务是指公立医疗机构在</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基本医疗服务的前提下，为满足群众多元化、个性化等不同层次医疗服务需求，根据本机构现有设施条件、医师队伍、学科优势、品牌特色，在服务设施、诊疗环境、服务时间、服务内容、医</w:t>
      </w:r>
      <w:r>
        <w:rPr>
          <w:rFonts w:hint="eastAsia" w:ascii="仿宋_GB2312" w:hAnsi="仿宋_GB2312" w:eastAsia="仿宋_GB2312" w:cs="仿宋_GB2312"/>
          <w:color w:val="auto"/>
          <w:sz w:val="32"/>
          <w:szCs w:val="32"/>
          <w:lang w:eastAsia="zh-CN"/>
        </w:rPr>
        <w:t>护</w:t>
      </w:r>
      <w:r>
        <w:rPr>
          <w:rFonts w:hint="eastAsia" w:ascii="仿宋_GB2312" w:hAnsi="仿宋_GB2312" w:eastAsia="仿宋_GB2312" w:cs="仿宋_GB2312"/>
          <w:color w:val="auto"/>
          <w:sz w:val="32"/>
          <w:szCs w:val="32"/>
        </w:rPr>
        <w:t>队伍、就医体验等方面提供更优质便捷的由群众自愿选择的医疗服务。特需医疗服务是基本医疗服务的差异化补充。</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本办法适用于陕西省二级及以上公立医疗机构，二级及以上非营利性民营医疗机构参照执行。</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医疗机构承担突发</w:t>
      </w:r>
      <w:r>
        <w:rPr>
          <w:rFonts w:hint="eastAsia" w:ascii="仿宋_GB2312" w:hAnsi="仿宋_GB2312" w:eastAsia="仿宋_GB2312" w:cs="仿宋_GB2312"/>
          <w:color w:val="auto"/>
          <w:sz w:val="32"/>
          <w:szCs w:val="32"/>
          <w:lang w:eastAsia="zh-CN"/>
        </w:rPr>
        <w:t>事件</w:t>
      </w:r>
      <w:r>
        <w:rPr>
          <w:rFonts w:hint="eastAsia" w:ascii="仿宋_GB2312" w:hAnsi="仿宋_GB2312" w:eastAsia="仿宋_GB2312" w:cs="仿宋_GB2312"/>
          <w:color w:val="auto"/>
          <w:sz w:val="32"/>
          <w:szCs w:val="32"/>
        </w:rPr>
        <w:t>应急等任务不能满足患者对本机构基本医疗服务的需求时，要减少或暂停特需医疗服务，以优先保证正常基本医疗服务的资源供应和绝大多数患者就医需求。</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特需医疗服务收入应体现对基本医疗服务的反哺作用，落实公立医院薪酬制度改革有关要求，允许特需医疗服务收入扣除成本并按规定提取各项基金后主要用于人员奖励。</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医疗机构开展特需医疗服务实行备案管理。各级卫生健康行政部门、医疗保障部门应负责对辖区内特需医疗服务的日常监管。</w:t>
      </w:r>
    </w:p>
    <w:p>
      <w:pPr>
        <w:spacing w:after="0" w:line="560" w:lineRule="exact"/>
        <w:rPr>
          <w:rFonts w:hint="eastAsia" w:ascii="仿宋_GB2312" w:hAnsi="仿宋_GB2312" w:eastAsia="仿宋_GB2312" w:cs="仿宋_GB2312"/>
          <w:color w:val="auto"/>
          <w:sz w:val="32"/>
          <w:szCs w:val="32"/>
        </w:rPr>
      </w:pPr>
    </w:p>
    <w:p>
      <w:pPr>
        <w:pStyle w:val="36"/>
        <w:numPr>
          <w:ilvl w:val="0"/>
          <w:numId w:val="1"/>
        </w:numPr>
        <w:spacing w:before="156" w:beforeLines="50" w:after="156" w:afterLines="50" w:line="560" w:lineRule="exact"/>
        <w:ind w:left="0"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 服务要求</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医疗机构是特需医疗服务管理的第一责任主体，特需医疗服务须符合国家行业规章及医疗质量安全管理要求。</w:t>
      </w:r>
    </w:p>
    <w:p>
      <w:pPr>
        <w:numPr>
          <w:ilvl w:val="0"/>
          <w:numId w:val="2"/>
        </w:numPr>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开展特需医疗服务的医疗机构，应当保障基本医疗服务规模和质量能够满足患者的需求，不得挤兑本机构基本医疗服务的提供能力（含设施设备、环境、专家供给等），在此基础上，通过内部挖潜，规范有序开展特需医疗服务。</w:t>
      </w:r>
    </w:p>
    <w:p>
      <w:pPr>
        <w:numPr>
          <w:ilvl w:val="0"/>
          <w:numId w:val="2"/>
        </w:numPr>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公立医疗机构实行市场调节价(含特需医疗服务)的医疗服务价格项目数量和费用所占比例，不超过本机构医疗收费总项目数量和医疗收入总金额的10%。</w:t>
      </w:r>
    </w:p>
    <w:p>
      <w:pPr>
        <w:numPr>
          <w:ilvl w:val="0"/>
          <w:numId w:val="2"/>
        </w:numPr>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特需医疗服务主要包括特需门诊、特需住院，一般应具备独立的服务区域</w:t>
      </w:r>
      <w:r>
        <w:rPr>
          <w:rFonts w:hint="eastAsia" w:ascii="仿宋_GB2312" w:hAnsi="仿宋_GB2312" w:eastAsia="仿宋_GB2312" w:cs="仿宋_GB2312"/>
          <w:color w:val="auto"/>
          <w:sz w:val="32"/>
          <w:szCs w:val="32"/>
          <w:lang w:eastAsia="zh-CN"/>
        </w:rPr>
        <w:t>，实行</w:t>
      </w:r>
      <w:r>
        <w:rPr>
          <w:rFonts w:hint="eastAsia" w:ascii="仿宋_GB2312" w:hAnsi="仿宋_GB2312" w:eastAsia="仿宋_GB2312" w:cs="仿宋_GB2312"/>
          <w:color w:val="auto"/>
          <w:sz w:val="32"/>
          <w:szCs w:val="32"/>
        </w:rPr>
        <w:t>独立管理。</w:t>
      </w:r>
    </w:p>
    <w:p>
      <w:pPr>
        <w:numPr>
          <w:ilvl w:val="0"/>
          <w:numId w:val="0"/>
        </w:numPr>
        <w:spacing w:after="0"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特需门诊应</w:t>
      </w:r>
      <w:r>
        <w:rPr>
          <w:rFonts w:hint="default" w:ascii="仿宋_GB2312" w:hAnsi="仿宋_GB2312" w:eastAsia="仿宋_GB2312" w:cs="仿宋_GB2312"/>
          <w:color w:val="auto"/>
          <w:sz w:val="32"/>
          <w:szCs w:val="32"/>
          <w:lang w:eastAsia="zh-CN"/>
        </w:rPr>
        <w:t>有独立的诊室、候诊室等，并有明显标识加以区别。诊区内的诊疗环境整洁、舒适，设专用导诊服务台，辅助服务设施应满足个性化要求。</w:t>
      </w:r>
      <w:r>
        <w:rPr>
          <w:rFonts w:hint="eastAsia" w:ascii="仿宋_GB2312" w:hAnsi="仿宋_GB2312" w:eastAsia="仿宋_GB2312" w:cs="仿宋_GB2312"/>
          <w:color w:val="auto"/>
          <w:sz w:val="32"/>
          <w:szCs w:val="32"/>
          <w:lang w:eastAsia="zh-CN"/>
        </w:rPr>
        <w:t>特需门诊患者平均就诊时间应至少达</w:t>
      </w:r>
      <w:r>
        <w:rPr>
          <w:rFonts w:hint="eastAsia" w:ascii="仿宋_GB2312" w:hAnsi="仿宋_GB2312" w:eastAsia="仿宋_GB2312" w:cs="仿宋_GB2312"/>
          <w:color w:val="auto"/>
          <w:sz w:val="32"/>
          <w:szCs w:val="32"/>
          <w:lang w:val="en-US" w:eastAsia="zh-CN"/>
        </w:rPr>
        <w:t>15分钟。</w:t>
      </w:r>
    </w:p>
    <w:p>
      <w:pPr>
        <w:numPr>
          <w:ilvl w:val="0"/>
          <w:numId w:val="0"/>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特需</w:t>
      </w:r>
      <w:r>
        <w:rPr>
          <w:rFonts w:hint="eastAsia" w:ascii="仿宋_GB2312" w:hAnsi="仿宋_GB2312" w:eastAsia="仿宋_GB2312" w:cs="仿宋_GB2312"/>
          <w:color w:val="auto"/>
          <w:sz w:val="32"/>
          <w:szCs w:val="32"/>
          <w:lang w:eastAsia="zh-CN"/>
        </w:rPr>
        <w:t>住院的病房应</w:t>
      </w:r>
      <w:r>
        <w:rPr>
          <w:rFonts w:hint="eastAsia" w:ascii="仿宋_GB2312" w:hAnsi="仿宋_GB2312" w:eastAsia="仿宋_GB2312" w:cs="仿宋_GB2312"/>
          <w:color w:val="auto"/>
          <w:sz w:val="32"/>
          <w:szCs w:val="32"/>
        </w:rPr>
        <w:t>按照单人间或套间配置，除具备基本医疗设备条件外，还应设立独立的卫生洗浴等相关生活服务设施，配置</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应当纳入院务公开内容。不得和普通病区混房收治。</w:t>
      </w:r>
      <w:r>
        <w:rPr>
          <w:rFonts w:hint="eastAsia" w:ascii="仿宋_GB2312" w:hAnsi="仿宋_GB2312" w:eastAsia="仿宋_GB2312" w:cs="仿宋_GB2312"/>
          <w:color w:val="auto"/>
          <w:sz w:val="32"/>
          <w:szCs w:val="32"/>
          <w:lang w:val="en-US" w:eastAsia="zh-CN"/>
        </w:rPr>
        <w:t>特需病房实行专医专护、患者选医生制度。</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开展手术、操作类项目的特需医疗服务，要区域单列，不得和基本医疗服务区域混用。</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提供医学影像类特需医疗服务的医疗机构，相关设施设备</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独立设置，特需区域标识清楚，不得和提供基本医疗服务的相关设备混用。</w:t>
      </w:r>
    </w:p>
    <w:p>
      <w:pPr>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检验</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病理类特需医疗服务</w:t>
      </w:r>
      <w:bookmarkStart w:id="1" w:name="OLE_LINK3"/>
      <w:r>
        <w:rPr>
          <w:rFonts w:hint="eastAsia" w:ascii="仿宋_GB2312" w:hAnsi="仿宋_GB2312" w:eastAsia="仿宋_GB2312" w:cs="仿宋_GB2312"/>
          <w:color w:val="auto"/>
          <w:sz w:val="32"/>
          <w:szCs w:val="32"/>
        </w:rPr>
        <w:t>项目</w:t>
      </w:r>
      <w:bookmarkEnd w:id="1"/>
      <w:r>
        <w:rPr>
          <w:rFonts w:hint="eastAsia" w:ascii="仿宋_GB2312" w:hAnsi="仿宋_GB2312" w:eastAsia="仿宋_GB2312" w:cs="仿宋_GB2312"/>
          <w:color w:val="auto"/>
          <w:sz w:val="32"/>
          <w:szCs w:val="32"/>
        </w:rPr>
        <w:t>的设备设施配置建议独立设置，未能做到独立设置的，不得简单的以“急诊、加快”的名义插队优先，确保基本医疗服务的同类检验</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病理项目完成时间</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国家、行业要求以及本区域同级同类医疗机构平均</w:t>
      </w:r>
      <w:r>
        <w:rPr>
          <w:rFonts w:hint="eastAsia" w:ascii="仿宋_GB2312" w:hAnsi="仿宋_GB2312" w:eastAsia="仿宋_GB2312" w:cs="仿宋_GB2312"/>
          <w:color w:val="auto"/>
          <w:sz w:val="32"/>
          <w:szCs w:val="32"/>
          <w:lang w:eastAsia="zh-CN"/>
        </w:rPr>
        <w:t>水平，</w:t>
      </w:r>
      <w:r>
        <w:rPr>
          <w:rFonts w:hint="eastAsia" w:ascii="仿宋_GB2312" w:hAnsi="仿宋_GB2312" w:eastAsia="仿宋_GB2312" w:cs="仿宋_GB2312"/>
          <w:color w:val="auto"/>
          <w:sz w:val="32"/>
          <w:szCs w:val="32"/>
        </w:rPr>
        <w:t>且</w:t>
      </w:r>
      <w:r>
        <w:rPr>
          <w:rFonts w:hint="eastAsia" w:ascii="仿宋_GB2312" w:hAnsi="仿宋_GB2312" w:eastAsia="仿宋_GB2312" w:cs="仿宋_GB2312"/>
          <w:color w:val="auto"/>
          <w:sz w:val="32"/>
          <w:szCs w:val="32"/>
          <w:lang w:eastAsia="zh-CN"/>
        </w:rPr>
        <w:t>不得因开展特需医疗服务项目受到影响</w:t>
      </w:r>
      <w:r>
        <w:rPr>
          <w:rFonts w:hint="eastAsia" w:ascii="仿宋_GB2312" w:hAnsi="仿宋_GB2312" w:eastAsia="仿宋_GB2312" w:cs="仿宋_GB2312"/>
          <w:color w:val="auto"/>
          <w:sz w:val="32"/>
          <w:szCs w:val="32"/>
        </w:rPr>
        <w:t>。</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特需医疗服务的医师，应在专业领域享有一定的声誉及有能力满足患者对特需医疗服务的需求，经本机构有关职能部门认定，按特需医疗服务项目逐一授予相应的诊疗决策和实施权限。医疗机构应当建立医师特需医疗服务授权与动态管理制度，根据医师的专业能力、特需服务服务及质量安全监测情况，动态调整医师特需医疗服务权限。</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提供特需医疗服务的本机构在职专家，必须同时提供</w:t>
      </w:r>
      <w:r>
        <w:rPr>
          <w:rFonts w:hint="eastAsia" w:ascii="仿宋_GB2312" w:hAnsi="仿宋_GB2312" w:eastAsia="仿宋_GB2312" w:cs="仿宋_GB2312"/>
          <w:color w:val="auto"/>
          <w:sz w:val="32"/>
          <w:szCs w:val="32"/>
          <w:lang w:eastAsia="zh-CN"/>
        </w:rPr>
        <w:t>同类项目</w:t>
      </w:r>
      <w:r>
        <w:rPr>
          <w:rFonts w:hint="eastAsia" w:ascii="仿宋_GB2312" w:hAnsi="仿宋_GB2312" w:eastAsia="仿宋_GB2312" w:cs="仿宋_GB2312"/>
          <w:color w:val="auto"/>
          <w:sz w:val="32"/>
          <w:szCs w:val="32"/>
        </w:rPr>
        <w:t>基本医疗服务，其特需医疗服务提供量不得</w:t>
      </w:r>
      <w:r>
        <w:rPr>
          <w:rFonts w:hint="eastAsia" w:ascii="仿宋_GB2312" w:hAnsi="仿宋_GB2312" w:eastAsia="仿宋_GB2312" w:cs="仿宋_GB2312"/>
          <w:color w:val="auto"/>
          <w:sz w:val="32"/>
          <w:szCs w:val="32"/>
          <w:lang w:eastAsia="zh-CN"/>
        </w:rPr>
        <w:t>多</w:t>
      </w:r>
      <w:r>
        <w:rPr>
          <w:rFonts w:hint="eastAsia" w:ascii="仿宋_GB2312" w:hAnsi="仿宋_GB2312" w:eastAsia="仿宋_GB2312" w:cs="仿宋_GB2312"/>
          <w:color w:val="auto"/>
          <w:sz w:val="32"/>
          <w:szCs w:val="32"/>
        </w:rPr>
        <w:t>于基本医疗服务的50%。退休返聘专家和外院专家除外，但其服务</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量应纳入医疗机构特需医疗服务</w:t>
      </w:r>
      <w:r>
        <w:rPr>
          <w:rFonts w:hint="eastAsia" w:ascii="仿宋_GB2312" w:hAnsi="仿宋_GB2312" w:eastAsia="仿宋_GB2312" w:cs="仿宋_GB2312"/>
          <w:color w:val="auto"/>
          <w:sz w:val="32"/>
          <w:szCs w:val="32"/>
          <w:lang w:eastAsia="zh-CN"/>
        </w:rPr>
        <w:t>总</w:t>
      </w:r>
      <w:r>
        <w:rPr>
          <w:rFonts w:hint="eastAsia" w:ascii="仿宋_GB2312" w:hAnsi="仿宋_GB2312" w:eastAsia="仿宋_GB2312" w:cs="仿宋_GB2312"/>
          <w:color w:val="auto"/>
          <w:sz w:val="32"/>
          <w:szCs w:val="32"/>
        </w:rPr>
        <w:t>收入</w:t>
      </w:r>
      <w:r>
        <w:rPr>
          <w:rFonts w:hint="eastAsia" w:ascii="仿宋_GB2312" w:hAnsi="仿宋_GB2312" w:eastAsia="仿宋_GB2312" w:cs="仿宋_GB2312"/>
          <w:color w:val="auto"/>
          <w:sz w:val="32"/>
          <w:szCs w:val="32"/>
          <w:lang w:eastAsia="zh-CN"/>
        </w:rPr>
        <w:t>比例</w:t>
      </w:r>
      <w:r>
        <w:rPr>
          <w:rFonts w:hint="eastAsia" w:ascii="仿宋_GB2312" w:hAnsi="仿宋_GB2312" w:eastAsia="仿宋_GB2312" w:cs="仿宋_GB2312"/>
          <w:color w:val="auto"/>
          <w:sz w:val="32"/>
          <w:szCs w:val="32"/>
        </w:rPr>
        <w:t>限制</w:t>
      </w:r>
      <w:r>
        <w:rPr>
          <w:rFonts w:hint="eastAsia" w:ascii="仿宋_GB2312" w:hAnsi="仿宋_GB2312" w:eastAsia="仿宋_GB2312" w:cs="仿宋_GB2312"/>
          <w:color w:val="auto"/>
          <w:sz w:val="32"/>
          <w:szCs w:val="32"/>
          <w:lang w:eastAsia="zh-CN"/>
        </w:rPr>
        <w:t>的计算</w:t>
      </w:r>
      <w:r>
        <w:rPr>
          <w:rFonts w:hint="eastAsia" w:ascii="仿宋_GB2312" w:hAnsi="仿宋_GB2312" w:eastAsia="仿宋_GB2312" w:cs="仿宋_GB2312"/>
          <w:color w:val="auto"/>
          <w:sz w:val="32"/>
          <w:szCs w:val="32"/>
        </w:rPr>
        <w:t>范围。</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特需医疗服务实行知情同意制度，由</w:t>
      </w:r>
      <w:bookmarkStart w:id="2" w:name="OLE_LINK2"/>
      <w:r>
        <w:rPr>
          <w:rFonts w:hint="eastAsia" w:ascii="仿宋_GB2312" w:hAnsi="仿宋_GB2312" w:eastAsia="仿宋_GB2312" w:cs="仿宋_GB2312"/>
          <w:color w:val="auto"/>
          <w:sz w:val="32"/>
          <w:szCs w:val="32"/>
          <w:lang w:eastAsia="zh-CN"/>
        </w:rPr>
        <w:t>群众</w:t>
      </w:r>
      <w:bookmarkEnd w:id="2"/>
      <w:r>
        <w:rPr>
          <w:rFonts w:hint="eastAsia" w:ascii="仿宋_GB2312" w:hAnsi="仿宋_GB2312" w:eastAsia="仿宋_GB2312" w:cs="仿宋_GB2312"/>
          <w:color w:val="auto"/>
          <w:sz w:val="32"/>
          <w:szCs w:val="32"/>
        </w:rPr>
        <w:t>自愿选择，不得诱导、暗示或强制</w:t>
      </w:r>
      <w:r>
        <w:rPr>
          <w:rFonts w:hint="eastAsia" w:ascii="仿宋_GB2312" w:hAnsi="仿宋_GB2312" w:eastAsia="仿宋_GB2312" w:cs="仿宋_GB2312"/>
          <w:color w:val="auto"/>
          <w:sz w:val="32"/>
          <w:szCs w:val="32"/>
          <w:lang w:eastAsia="zh-CN"/>
        </w:rPr>
        <w:t>群众</w:t>
      </w:r>
      <w:r>
        <w:rPr>
          <w:rFonts w:hint="eastAsia" w:ascii="仿宋_GB2312" w:hAnsi="仿宋_GB2312" w:eastAsia="仿宋_GB2312" w:cs="仿宋_GB2312"/>
          <w:color w:val="auto"/>
          <w:sz w:val="32"/>
          <w:szCs w:val="32"/>
        </w:rPr>
        <w:t>接受特需服务，事前应签署知情同意书，并尊重保护患者隐私。</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突发公共卫生事件、自然灾害、事故灾难</w:t>
      </w:r>
      <w:r>
        <w:rPr>
          <w:rFonts w:hint="eastAsia" w:ascii="仿宋_GB2312" w:hAnsi="仿宋_GB2312" w:eastAsia="仿宋_GB2312" w:cs="仿宋_GB2312"/>
          <w:color w:val="auto"/>
          <w:sz w:val="32"/>
          <w:szCs w:val="32"/>
          <w:lang w:eastAsia="zh-CN"/>
        </w:rPr>
        <w:t>、社会安全事件</w:t>
      </w:r>
      <w:r>
        <w:rPr>
          <w:rFonts w:hint="eastAsia" w:ascii="仿宋_GB2312" w:hAnsi="仿宋_GB2312" w:eastAsia="仿宋_GB2312" w:cs="仿宋_GB2312"/>
          <w:color w:val="auto"/>
          <w:sz w:val="32"/>
          <w:szCs w:val="32"/>
        </w:rPr>
        <w:t>等事件发生后，医疗机构紧急救治患者生命时，</w:t>
      </w:r>
      <w:bookmarkStart w:id="3" w:name="OLE_LINK1"/>
      <w:r>
        <w:rPr>
          <w:rFonts w:hint="eastAsia" w:ascii="仿宋_GB2312" w:hAnsi="仿宋_GB2312" w:eastAsia="仿宋_GB2312" w:cs="仿宋_GB2312"/>
          <w:color w:val="auto"/>
          <w:sz w:val="32"/>
          <w:szCs w:val="32"/>
        </w:rPr>
        <w:t>如</w:t>
      </w:r>
      <w:bookmarkEnd w:id="3"/>
      <w:r>
        <w:rPr>
          <w:rFonts w:hint="eastAsia" w:ascii="仿宋_GB2312" w:hAnsi="仿宋_GB2312" w:eastAsia="仿宋_GB2312" w:cs="仿宋_GB2312"/>
          <w:color w:val="auto"/>
          <w:sz w:val="32"/>
          <w:szCs w:val="32"/>
        </w:rPr>
        <w:t>基本医疗服务资源不足，可以在特需医疗服务区域收治患者，并依照基本医疗服务价格收费。</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医疗机构宣传特需医疗服务项目和专家信息时，要经过医疗机构有关职能部门审核，符合《中华人民共和国广告法》要求。</w:t>
      </w:r>
    </w:p>
    <w:p>
      <w:pPr>
        <w:numPr>
          <w:ilvl w:val="0"/>
          <w:numId w:val="0"/>
        </w:numPr>
        <w:spacing w:after="0" w:line="560" w:lineRule="exact"/>
        <w:rPr>
          <w:rFonts w:hint="eastAsia" w:ascii="仿宋_GB2312" w:hAnsi="仿宋_GB2312" w:eastAsia="仿宋_GB2312" w:cs="仿宋_GB2312"/>
          <w:color w:val="auto"/>
          <w:sz w:val="32"/>
          <w:szCs w:val="32"/>
        </w:rPr>
      </w:pPr>
    </w:p>
    <w:p>
      <w:pPr>
        <w:pStyle w:val="36"/>
        <w:numPr>
          <w:ilvl w:val="0"/>
          <w:numId w:val="1"/>
        </w:numPr>
        <w:spacing w:before="156" w:beforeLines="50" w:after="156" w:afterLines="50" w:line="560" w:lineRule="exact"/>
        <w:ind w:left="0"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 项目管理</w:t>
      </w:r>
    </w:p>
    <w:p>
      <w:pPr>
        <w:numPr>
          <w:ilvl w:val="0"/>
          <w:numId w:val="2"/>
        </w:numPr>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医疗机构开展的特需医疗服务项目，一般在我省现行医疗服务价格项目目录内选择形成，明确拓展的服务内容和要求；现行目录内没有的，按特需医疗服务价格新增项目程序申报立项。</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以下范围不列入特需医疗服务</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w:t>
      </w:r>
    </w:p>
    <w:p>
      <w:pPr>
        <w:pStyle w:val="36"/>
        <w:spacing w:after="0" w:line="56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（一）院前急救、急诊医疗服务；</w:t>
      </w:r>
    </w:p>
    <w:p>
      <w:pPr>
        <w:pStyle w:val="36"/>
        <w:spacing w:after="0" w:line="560" w:lineRule="exact"/>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（二）重症监护医疗服务(医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疗机构重症监护资源配置满足国家标准的基础上，在特需医疗服务独立区域增设的重症监护室除外)；</w:t>
      </w:r>
    </w:p>
    <w:p>
      <w:pPr>
        <w:pStyle w:val="36"/>
        <w:spacing w:after="0" w:line="560" w:lineRule="exact"/>
        <w:ind w:left="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（三）国家和省级有关部门规定的</w:t>
      </w:r>
      <w:r>
        <w:rPr>
          <w:rFonts w:hint="eastAsia" w:ascii="仿宋_GB2312" w:hAnsi="仿宋_GB2312" w:eastAsia="仿宋_GB2312" w:cs="仿宋_GB2312"/>
          <w:color w:val="auto"/>
          <w:sz w:val="32"/>
          <w:szCs w:val="32"/>
          <w:lang w:eastAsia="zh-CN"/>
        </w:rPr>
        <w:t>不宜纳入特需医疗服务的</w:t>
      </w:r>
      <w:r>
        <w:rPr>
          <w:rFonts w:hint="eastAsia" w:ascii="仿宋_GB2312" w:hAnsi="仿宋_GB2312" w:eastAsia="仿宋_GB2312" w:cs="仿宋_GB2312"/>
          <w:color w:val="auto"/>
          <w:sz w:val="32"/>
          <w:szCs w:val="32"/>
        </w:rPr>
        <w:t>项目。</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医疗机构开展特需医疗服务后，应当</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关注相关科室的基本医疗服务</w:t>
      </w:r>
      <w:r>
        <w:rPr>
          <w:rFonts w:hint="eastAsia" w:ascii="仿宋_GB2312" w:hAnsi="仿宋_GB2312" w:eastAsia="仿宋_GB2312" w:cs="仿宋_GB2312"/>
          <w:color w:val="auto"/>
          <w:sz w:val="32"/>
          <w:szCs w:val="32"/>
          <w:lang w:eastAsia="zh-CN"/>
        </w:rPr>
        <w:t>供给</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监测与</w:t>
      </w:r>
      <w:r>
        <w:rPr>
          <w:rFonts w:hint="eastAsia" w:ascii="仿宋_GB2312" w:hAnsi="仿宋_GB2312" w:eastAsia="仿宋_GB2312" w:cs="仿宋_GB2312"/>
          <w:color w:val="auto"/>
          <w:sz w:val="32"/>
          <w:szCs w:val="32"/>
          <w:lang w:eastAsia="zh-CN"/>
        </w:rPr>
        <w:t>特需服务项目</w:t>
      </w:r>
      <w:r>
        <w:rPr>
          <w:rFonts w:hint="eastAsia" w:ascii="仿宋_GB2312" w:hAnsi="仿宋_GB2312" w:eastAsia="仿宋_GB2312" w:cs="仿宋_GB2312"/>
          <w:color w:val="auto"/>
          <w:sz w:val="32"/>
          <w:szCs w:val="32"/>
        </w:rPr>
        <w:t>相对应的基本医疗服务</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的平均完成时间，确保</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不受</w:t>
      </w:r>
      <w:r>
        <w:rPr>
          <w:rFonts w:hint="eastAsia" w:ascii="仿宋_GB2312" w:hAnsi="仿宋_GB2312" w:eastAsia="仿宋_GB2312" w:cs="仿宋_GB2312"/>
          <w:color w:val="auto"/>
          <w:sz w:val="32"/>
          <w:szCs w:val="32"/>
          <w:lang w:eastAsia="zh-CN"/>
        </w:rPr>
        <w:t>影响，</w:t>
      </w:r>
      <w:r>
        <w:rPr>
          <w:rFonts w:hint="eastAsia" w:ascii="仿宋_GB2312" w:hAnsi="仿宋_GB2312" w:eastAsia="仿宋_GB2312" w:cs="仿宋_GB2312"/>
          <w:color w:val="auto"/>
          <w:sz w:val="32"/>
          <w:szCs w:val="32"/>
        </w:rPr>
        <w:t>包括但不限于普通门诊、专科门诊、专家门诊以及住院、手术（含操作）的等候时间，并作为医疗服务的承诺</w:t>
      </w:r>
      <w:r>
        <w:rPr>
          <w:rFonts w:hint="eastAsia" w:ascii="仿宋_GB2312" w:hAnsi="仿宋_GB2312" w:eastAsia="仿宋_GB2312" w:cs="仿宋_GB2312"/>
          <w:color w:val="auto"/>
          <w:sz w:val="32"/>
          <w:szCs w:val="32"/>
          <w:lang w:eastAsia="zh-CN"/>
        </w:rPr>
        <w:t>逐步</w:t>
      </w:r>
      <w:r>
        <w:rPr>
          <w:rFonts w:hint="eastAsia" w:ascii="仿宋_GB2312" w:hAnsi="仿宋_GB2312" w:eastAsia="仿宋_GB2312" w:cs="仿宋_GB2312"/>
          <w:color w:val="auto"/>
          <w:sz w:val="32"/>
          <w:szCs w:val="32"/>
        </w:rPr>
        <w:t>纳入院务公开范围。</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当特需医疗服务开展后，相对应的基本医疗服务等候时间明显延长时，医疗机构应当有效利用特需医疗服务的相关资源提供基本医疗服务，并按照基本医疗服务价格收费。</w:t>
      </w:r>
    </w:p>
    <w:p>
      <w:pPr>
        <w:numPr>
          <w:ilvl w:val="0"/>
          <w:numId w:val="2"/>
        </w:numPr>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医疗机构开展的特需医疗服务项目，</w:t>
      </w:r>
      <w:r>
        <w:rPr>
          <w:rFonts w:hint="eastAsia" w:ascii="仿宋_GB2312" w:hAnsi="仿宋_GB2312" w:eastAsia="仿宋_GB2312" w:cs="仿宋_GB2312"/>
          <w:b w:val="0"/>
          <w:bCs w:val="0"/>
          <w:color w:val="auto"/>
          <w:sz w:val="32"/>
          <w:szCs w:val="32"/>
        </w:rPr>
        <w:t>应当</w:t>
      </w:r>
      <w:r>
        <w:rPr>
          <w:rFonts w:hint="eastAsia" w:ascii="仿宋_GB2312" w:hAnsi="仿宋_GB2312" w:eastAsia="仿宋_GB2312" w:cs="仿宋_GB2312"/>
          <w:b w:val="0"/>
          <w:bCs w:val="0"/>
          <w:color w:val="auto"/>
          <w:sz w:val="32"/>
          <w:szCs w:val="32"/>
          <w:lang w:eastAsia="zh-CN"/>
        </w:rPr>
        <w:t>具有</w:t>
      </w:r>
      <w:r>
        <w:rPr>
          <w:rFonts w:hint="eastAsia" w:ascii="仿宋_GB2312" w:hAnsi="仿宋_GB2312" w:eastAsia="仿宋_GB2312" w:cs="仿宋_GB2312"/>
          <w:b w:val="0"/>
          <w:bCs w:val="0"/>
          <w:color w:val="auto"/>
          <w:sz w:val="32"/>
          <w:szCs w:val="32"/>
        </w:rPr>
        <w:t>一定的患者需求</w:t>
      </w:r>
      <w:r>
        <w:rPr>
          <w:rFonts w:hint="eastAsia" w:ascii="仿宋_GB2312" w:hAnsi="仿宋_GB2312" w:eastAsia="仿宋_GB2312" w:cs="仿宋_GB2312"/>
          <w:b w:val="0"/>
          <w:bCs w:val="0"/>
          <w:color w:val="auto"/>
          <w:sz w:val="32"/>
          <w:szCs w:val="32"/>
          <w:lang w:eastAsia="zh-CN"/>
        </w:rPr>
        <w:t>基础，并进行动态</w:t>
      </w:r>
      <w:r>
        <w:rPr>
          <w:rFonts w:hint="eastAsia" w:ascii="仿宋_GB2312" w:hAnsi="仿宋_GB2312" w:eastAsia="仿宋_GB2312" w:cs="仿宋_GB2312"/>
          <w:b w:val="0"/>
          <w:bCs w:val="0"/>
          <w:color w:val="auto"/>
          <w:sz w:val="32"/>
          <w:szCs w:val="32"/>
        </w:rPr>
        <w:t>调整</w:t>
      </w:r>
      <w:r>
        <w:rPr>
          <w:rFonts w:hint="eastAsia" w:ascii="仿宋_GB2312" w:hAnsi="仿宋_GB2312" w:eastAsia="仿宋_GB2312" w:cs="仿宋_GB2312"/>
          <w:b w:val="0"/>
          <w:bCs w:val="0"/>
          <w:color w:val="auto"/>
          <w:sz w:val="32"/>
          <w:szCs w:val="32"/>
          <w:lang w:eastAsia="zh-CN"/>
        </w:rPr>
        <w:t>。当资源配置明显大于患者需求时，医疗机构应及时减少</w:t>
      </w:r>
      <w:r>
        <w:rPr>
          <w:rFonts w:hint="eastAsia" w:ascii="仿宋_GB2312" w:hAnsi="仿宋_GB2312" w:eastAsia="仿宋_GB2312" w:cs="仿宋_GB2312"/>
          <w:b w:val="0"/>
          <w:bCs w:val="0"/>
          <w:color w:val="auto"/>
          <w:sz w:val="32"/>
          <w:szCs w:val="32"/>
        </w:rPr>
        <w:t>特需医疗服务</w:t>
      </w:r>
      <w:r>
        <w:rPr>
          <w:rFonts w:hint="eastAsia" w:ascii="仿宋_GB2312" w:hAnsi="仿宋_GB2312" w:eastAsia="仿宋_GB2312" w:cs="仿宋_GB2312"/>
          <w:b w:val="0"/>
          <w:bCs w:val="0"/>
          <w:color w:val="auto"/>
          <w:sz w:val="32"/>
          <w:szCs w:val="32"/>
          <w:lang w:eastAsia="zh-CN"/>
        </w:rPr>
        <w:t>资源的配置</w:t>
      </w:r>
      <w:r>
        <w:rPr>
          <w:rFonts w:hint="eastAsia" w:ascii="仿宋_GB2312" w:hAnsi="仿宋_GB2312" w:eastAsia="仿宋_GB2312" w:cs="仿宋_GB2312"/>
          <w:b w:val="0"/>
          <w:bCs w:val="0"/>
          <w:color w:val="auto"/>
          <w:sz w:val="32"/>
          <w:szCs w:val="32"/>
        </w:rPr>
        <w:t>或降低特需医疗服务项目价格，确保医疗资源不浪费。</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发挥中医药服务特色优势。支持有条件的医疗机构在特需医疗服务区域充分挖掘中医药对慢性病、老年病、复杂性疾病、疑难病的诊疗优势,打造中西医药融合优质医疗服务临床基地，发展针刺、艾灸、推拿、刮痧、拔罐、中药熏蒸、</w:t>
      </w:r>
      <w:r>
        <w:rPr>
          <w:rFonts w:hint="eastAsia" w:ascii="仿宋_GB2312" w:hAnsi="仿宋_GB2312" w:eastAsia="仿宋_GB2312" w:cs="仿宋_GB2312"/>
          <w:color w:val="auto"/>
          <w:sz w:val="32"/>
          <w:szCs w:val="32"/>
          <w:lang w:eastAsia="zh-CN"/>
        </w:rPr>
        <w:t>辩证施膳、</w:t>
      </w:r>
      <w:r>
        <w:rPr>
          <w:rFonts w:hint="eastAsia" w:ascii="仿宋_GB2312" w:hAnsi="仿宋_GB2312" w:eastAsia="仿宋_GB2312" w:cs="仿宋_GB2312"/>
          <w:color w:val="auto"/>
          <w:sz w:val="32"/>
          <w:szCs w:val="32"/>
        </w:rPr>
        <w:t>中医传统功法等中医特色服务,探索开展食疗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饮品等养生产品辅助治疗项目，引导健康养生理念。</w:t>
      </w:r>
    </w:p>
    <w:p>
      <w:pPr>
        <w:widowControl w:val="0"/>
        <w:numPr>
          <w:ilvl w:val="0"/>
          <w:numId w:val="0"/>
        </w:numPr>
        <w:spacing w:after="0" w:line="560" w:lineRule="exact"/>
        <w:rPr>
          <w:rFonts w:hint="eastAsia" w:ascii="仿宋_GB2312" w:hAnsi="仿宋_GB2312" w:eastAsia="仿宋_GB2312" w:cs="仿宋_GB2312"/>
          <w:color w:val="auto"/>
          <w:sz w:val="32"/>
          <w:szCs w:val="32"/>
        </w:rPr>
      </w:pPr>
    </w:p>
    <w:p>
      <w:pPr>
        <w:pStyle w:val="36"/>
        <w:numPr>
          <w:ilvl w:val="0"/>
          <w:numId w:val="1"/>
        </w:numPr>
        <w:spacing w:before="156" w:beforeLines="50" w:after="156" w:afterLines="50" w:line="560" w:lineRule="exact"/>
        <w:ind w:left="0"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运行</w:t>
      </w:r>
      <w:r>
        <w:rPr>
          <w:rFonts w:hint="eastAsia" w:ascii="黑体" w:hAnsi="黑体" w:eastAsia="黑体" w:cs="黑体"/>
          <w:color w:val="auto"/>
          <w:sz w:val="32"/>
          <w:szCs w:val="32"/>
        </w:rPr>
        <w:t>管理</w:t>
      </w:r>
    </w:p>
    <w:p>
      <w:pPr>
        <w:numPr>
          <w:ilvl w:val="0"/>
          <w:numId w:val="2"/>
        </w:numPr>
        <w:spacing w:after="0"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特需医疗服务项目收费由患者自行负担，不纳入基本医疗保险支付范围。</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特需医疗服务价格按市场供求情况的定价原则制定，实行市场调节价，由医疗机构自主确定。</w:t>
      </w:r>
      <w:r>
        <w:rPr>
          <w:rFonts w:hint="eastAsia" w:ascii="仿宋_GB2312" w:hAnsi="仿宋_GB2312" w:eastAsia="仿宋_GB2312" w:cs="仿宋_GB2312"/>
          <w:color w:val="auto"/>
          <w:sz w:val="32"/>
          <w:szCs w:val="32"/>
          <w:lang w:eastAsia="zh-CN"/>
        </w:rPr>
        <w:t>医疗机构要遵循公平、合法和诚实信用原则，自主制定的价格应与医院等级、专业地位、功能定位相匹配，确保服务高效优质、质价相符</w:t>
      </w:r>
      <w:r>
        <w:rPr>
          <w:rFonts w:hint="eastAsia" w:ascii="仿宋_GB2312" w:hAnsi="仿宋_GB2312" w:eastAsia="仿宋_GB2312" w:cs="仿宋_GB2312"/>
          <w:color w:val="auto"/>
          <w:sz w:val="32"/>
          <w:szCs w:val="32"/>
        </w:rPr>
        <w:t>。</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医疗机构应当建立特需医疗服务项目和价格备案制度，特需医疗服务应</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主管卫生健康行政部门</w:t>
      </w:r>
      <w:r>
        <w:rPr>
          <w:rFonts w:hint="eastAsia" w:ascii="仿宋_GB2312" w:hAnsi="仿宋_GB2312" w:eastAsia="仿宋_GB2312" w:cs="仿宋_GB2312"/>
          <w:color w:val="auto"/>
          <w:sz w:val="32"/>
          <w:szCs w:val="32"/>
          <w:lang w:eastAsia="zh-CN"/>
        </w:rPr>
        <w:t>审核同意或被委托第三方组织验收通过后，将</w:t>
      </w:r>
      <w:r>
        <w:rPr>
          <w:rFonts w:hint="eastAsia" w:ascii="仿宋_GB2312" w:hAnsi="仿宋_GB2312" w:eastAsia="仿宋_GB2312" w:cs="仿宋_GB2312"/>
          <w:color w:val="auto"/>
          <w:sz w:val="32"/>
          <w:szCs w:val="32"/>
        </w:rPr>
        <w:t>特需项目</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价格向</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医疗保障部门备案，并逐级报送省卫生健康委和省医疗保障局。备案价格必须为实价。</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医疗机构申请备案特需医疗服务，需提交以下材料：</w:t>
      </w:r>
    </w:p>
    <w:p>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（一）申请报告；</w:t>
      </w:r>
    </w:p>
    <w:p>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（二）《陕西省特需医疗服务价格项目申报表》；</w:t>
      </w:r>
    </w:p>
    <w:p>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（三）医疗机构上一年度部门决算报表中的收入决算表；</w:t>
      </w:r>
    </w:p>
    <w:p>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（四）开展特需医疗服务人次、收入测算情况；</w:t>
      </w:r>
    </w:p>
    <w:p>
      <w:pPr>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医疗机构</w:t>
      </w:r>
      <w:r>
        <w:rPr>
          <w:rFonts w:hint="eastAsia" w:ascii="仿宋_GB2312" w:hAnsi="仿宋_GB2312" w:eastAsia="仿宋_GB2312" w:cs="仿宋_GB2312"/>
          <w:color w:val="auto"/>
          <w:sz w:val="32"/>
          <w:szCs w:val="32"/>
        </w:rPr>
        <w:t>医护资源配备情况，流程和条件，以及开展特需医疗服务配备人员条件、基本设施设备配置等情况；</w:t>
      </w:r>
    </w:p>
    <w:p>
      <w:pPr>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（六）特需医疗服务</w:t>
      </w:r>
      <w:r>
        <w:rPr>
          <w:rFonts w:hint="eastAsia" w:ascii="仿宋_GB2312" w:hAnsi="仿宋_GB2312" w:eastAsia="仿宋_GB2312" w:cs="仿宋_GB2312"/>
          <w:color w:val="auto"/>
          <w:sz w:val="32"/>
          <w:szCs w:val="32"/>
          <w:lang w:eastAsia="zh-CN"/>
        </w:rPr>
        <w:t>项目及与其对应</w:t>
      </w:r>
      <w:r>
        <w:rPr>
          <w:rFonts w:hint="eastAsia" w:ascii="仿宋_GB2312" w:hAnsi="仿宋_GB2312" w:eastAsia="仿宋_GB2312" w:cs="仿宋_GB2312"/>
          <w:color w:val="auto"/>
          <w:sz w:val="32"/>
          <w:szCs w:val="32"/>
        </w:rPr>
        <w:t>的基本医疗服务</w:t>
      </w:r>
      <w:r>
        <w:rPr>
          <w:rFonts w:hint="eastAsia" w:ascii="仿宋_GB2312" w:hAnsi="仿宋_GB2312" w:eastAsia="仿宋_GB2312" w:cs="仿宋_GB2312"/>
          <w:color w:val="auto"/>
          <w:sz w:val="32"/>
          <w:szCs w:val="32"/>
          <w:lang w:eastAsia="zh-CN"/>
        </w:rPr>
        <w:t>项目的</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eastAsia="zh-CN"/>
        </w:rPr>
        <w:t>等待及完成</w:t>
      </w:r>
      <w:r>
        <w:rPr>
          <w:rFonts w:hint="eastAsia" w:ascii="仿宋_GB2312" w:hAnsi="仿宋_GB2312" w:eastAsia="仿宋_GB2312" w:cs="仿宋_GB2312"/>
          <w:color w:val="auto"/>
          <w:sz w:val="32"/>
          <w:szCs w:val="32"/>
        </w:rPr>
        <w:t>时限</w:t>
      </w:r>
      <w:r>
        <w:rPr>
          <w:rFonts w:hint="eastAsia" w:ascii="仿宋_GB2312" w:hAnsi="仿宋_GB2312" w:eastAsia="仿宋_GB2312" w:cs="仿宋_GB2312"/>
          <w:color w:val="auto"/>
          <w:sz w:val="32"/>
          <w:szCs w:val="32"/>
          <w:lang w:eastAsia="zh-CN"/>
        </w:rPr>
        <w:t>；</w:t>
      </w:r>
      <w:bookmarkStart w:id="4" w:name="_GoBack"/>
      <w:bookmarkEnd w:id="4"/>
    </w:p>
    <w:p>
      <w:pPr>
        <w:spacing w:after="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（七）规范特需医疗服务管理的相关措施和制度。</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医疗机构应当建立特需医疗服务项目和价格公示制度，接受社会监督，公示内容包括但不限于在院内特需医疗服务场所、特需服务项目、价格标准、服务</w:t>
      </w:r>
      <w:r>
        <w:rPr>
          <w:rFonts w:hint="eastAsia" w:ascii="仿宋_GB2312" w:hAnsi="仿宋_GB2312" w:eastAsia="仿宋_GB2312" w:cs="仿宋_GB2312"/>
          <w:color w:val="auto"/>
          <w:sz w:val="32"/>
          <w:szCs w:val="32"/>
          <w:lang w:eastAsia="zh-CN"/>
        </w:rPr>
        <w:t>内容、执行时间</w:t>
      </w:r>
      <w:r>
        <w:rPr>
          <w:rFonts w:hint="eastAsia" w:ascii="仿宋_GB2312" w:hAnsi="仿宋_GB2312" w:eastAsia="仿宋_GB2312" w:cs="仿宋_GB2312"/>
          <w:color w:val="auto"/>
          <w:sz w:val="32"/>
          <w:szCs w:val="32"/>
        </w:rPr>
        <w:t>等，并注明有关部门投诉电话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特需医疗服务项目，</w:t>
      </w:r>
      <w:r>
        <w:rPr>
          <w:rFonts w:hint="eastAsia" w:ascii="仿宋_GB2312" w:hAnsi="仿宋_GB2312" w:eastAsia="仿宋_GB2312" w:cs="仿宋_GB2312"/>
          <w:color w:val="auto"/>
          <w:sz w:val="32"/>
          <w:szCs w:val="32"/>
          <w:lang w:eastAsia="zh-CN"/>
        </w:rPr>
        <w:t>应至少</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开展。</w:t>
      </w:r>
    </w:p>
    <w:p>
      <w:pPr>
        <w:numPr>
          <w:ilvl w:val="0"/>
          <w:numId w:val="2"/>
        </w:numPr>
        <w:spacing w:after="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医疗机构特需医疗服务项目，不纳入按病组</w:t>
      </w:r>
      <w:r>
        <w:rPr>
          <w:rFonts w:ascii="仿宋_GB2312" w:hAnsi="仿宋_GB2312" w:eastAsia="仿宋_GB2312" w:cs="仿宋_GB2312"/>
          <w:color w:val="auto"/>
          <w:sz w:val="32"/>
          <w:szCs w:val="32"/>
        </w:rPr>
        <w:t>和病种分值支付方式</w:t>
      </w:r>
      <w:r>
        <w:rPr>
          <w:rFonts w:hint="eastAsia" w:ascii="仿宋_GB2312" w:hAnsi="仿宋_GB2312" w:eastAsia="仿宋_GB2312" w:cs="仿宋_GB2312"/>
          <w:color w:val="auto"/>
          <w:sz w:val="32"/>
          <w:szCs w:val="32"/>
        </w:rPr>
        <w:t>核算范围。</w:t>
      </w:r>
      <w:r>
        <w:rPr>
          <w:rFonts w:hint="eastAsia" w:ascii="仿宋_GB2312" w:hAnsi="仿宋_GB2312" w:eastAsia="仿宋_GB2312" w:cs="仿宋_GB2312"/>
          <w:b w:val="0"/>
          <w:bCs w:val="0"/>
          <w:color w:val="auto"/>
          <w:sz w:val="32"/>
          <w:szCs w:val="32"/>
          <w:lang w:eastAsia="zh-CN"/>
        </w:rPr>
        <w:t>医疗机构在特需医疗服务区域所使用药品和耗材，不受集中带量采购政策限制。</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鼓励医疗机构与商业保险机构签订特需医疗服务合作协议，建立稳定的合作关系，完善商业健康保险支付政策，扩大商业健康保险在医疗机构特需医疗服务支付中的比例，</w:t>
      </w:r>
      <w:r>
        <w:rPr>
          <w:rFonts w:hint="eastAsia" w:ascii="仿宋_GB2312" w:hAnsi="仿宋_GB2312" w:eastAsia="仿宋_GB2312" w:cs="仿宋_GB2312"/>
          <w:b w:val="0"/>
          <w:bCs w:val="0"/>
          <w:color w:val="auto"/>
          <w:sz w:val="32"/>
          <w:szCs w:val="32"/>
          <w:lang w:eastAsia="zh-CN"/>
        </w:rPr>
        <w:t>依托陕西全民健康保就医费用一站式结算服务的模式，推进医疗机构与商业保险机构信息互联互通，实现商业健康保险的一站式理赔结算。</w:t>
      </w:r>
      <w:r>
        <w:rPr>
          <w:rFonts w:hint="eastAsia" w:ascii="仿宋_GB2312" w:hAnsi="仿宋_GB2312" w:eastAsia="仿宋_GB2312" w:cs="仿宋_GB2312"/>
          <w:color w:val="auto"/>
          <w:sz w:val="32"/>
          <w:szCs w:val="32"/>
        </w:rPr>
        <w:t>鼓励在陕商业保险机构开发与特色医疗服务对接的健康保险产品以及特需服务医疗险产品。</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省卫生健康委将遴选对国际医疗有认识、有发展基础、学科优势明显的高水平公立医疗机构，在特需医疗服务区域开展</w:t>
      </w:r>
      <w:r>
        <w:rPr>
          <w:rFonts w:hint="eastAsia" w:ascii="仿宋_GB2312" w:hAnsi="仿宋_GB2312" w:eastAsia="仿宋_GB2312" w:cs="仿宋_GB2312"/>
          <w:color w:val="auto"/>
          <w:sz w:val="32"/>
          <w:szCs w:val="32"/>
          <w:lang w:val="en-US" w:eastAsia="zh-CN"/>
        </w:rPr>
        <w:t>国际医疗服务试点工作</w:t>
      </w:r>
      <w:r>
        <w:rPr>
          <w:rFonts w:hint="eastAsia" w:ascii="仿宋_GB2312" w:hAnsi="仿宋_GB2312" w:eastAsia="仿宋_GB2312" w:cs="仿宋_GB2312"/>
          <w:color w:val="auto"/>
          <w:sz w:val="32"/>
          <w:szCs w:val="32"/>
          <w:lang w:eastAsia="zh-CN"/>
        </w:rPr>
        <w:t>。在不违背有关法律法规的基础上，探</w:t>
      </w:r>
      <w:r>
        <w:rPr>
          <w:rFonts w:hint="eastAsia" w:ascii="仿宋_GB2312" w:hAnsi="仿宋_GB2312" w:eastAsia="仿宋_GB2312" w:cs="仿宋_GB2312"/>
          <w:color w:val="auto"/>
          <w:sz w:val="32"/>
          <w:szCs w:val="32"/>
        </w:rPr>
        <w:t>索外籍、港澳台医师在试点单位多点执业注册措施。鼓励试点单位开展国际医疗多语种服务,提供多语种医疗文书</w:t>
      </w:r>
      <w:r>
        <w:rPr>
          <w:rFonts w:hint="eastAsia" w:ascii="仿宋_GB2312" w:hAnsi="仿宋_GB2312" w:eastAsia="仿宋_GB2312" w:cs="仿宋_GB2312"/>
          <w:color w:val="auto"/>
          <w:sz w:val="32"/>
          <w:szCs w:val="32"/>
          <w:lang w:eastAsia="zh-CN"/>
        </w:rPr>
        <w:t>，完善国际医疗服务预约就诊机制和费用便利化支付措施</w:t>
      </w:r>
      <w:r>
        <w:rPr>
          <w:rFonts w:hint="eastAsia" w:ascii="仿宋_GB2312" w:hAnsi="仿宋_GB2312" w:eastAsia="仿宋_GB2312" w:cs="仿宋_GB2312"/>
          <w:color w:val="auto"/>
          <w:sz w:val="32"/>
          <w:szCs w:val="32"/>
        </w:rPr>
        <w:t>。支持试点单位可在不违反国家和本省价格、税收管理法律法规规定的前提下，通过与商业保险机构协议的方式对国际医疗服务探索优质优价。</w:t>
      </w:r>
    </w:p>
    <w:p>
      <w:pPr>
        <w:pStyle w:val="36"/>
        <w:numPr>
          <w:ilvl w:val="0"/>
          <w:numId w:val="1"/>
        </w:numPr>
        <w:spacing w:before="156" w:beforeLines="50" w:after="156" w:afterLines="50" w:line="560" w:lineRule="exact"/>
        <w:ind w:left="0"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 xml:space="preserve">  监督管理</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医疗机构应当严格按照国家法律法规、加强对本机构特需医疗服务的内部管理，建立和完善相关管理制度、服务流程，保障特需医疗服务活动全程留痕、可追溯。</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建立发展特需医疗行业学会、质控组织，发挥行业组织在强化行业自律管理、提高行业质量安全水平、提升行业发展凝聚力、开展特需推广等方面的积极作用。建立包括服务业务量、服务人次数、收入占比、患者来源地分布、就诊专科、病种分布和特需医疗服务结果等特需医疗统计指标体系，加强指标监测，指导特需医疗服务质量控制和长期发展工作。</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各级卫生健康部门、医疗保障部门等应当依照职</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加强对医疗机构开展特需医疗服务及价格管理的监管，</w:t>
      </w:r>
      <w:r>
        <w:rPr>
          <w:rFonts w:hint="eastAsia" w:ascii="仿宋_GB2312" w:hAnsi="仿宋_GB2312" w:eastAsia="仿宋_GB2312" w:cs="仿宋_GB2312"/>
          <w:color w:val="auto"/>
          <w:sz w:val="32"/>
          <w:szCs w:val="32"/>
          <w:lang w:eastAsia="zh-CN"/>
        </w:rPr>
        <w:t>监测医疗机构市场调节价项目开展规模，</w:t>
      </w:r>
      <w:r>
        <w:rPr>
          <w:rFonts w:hint="eastAsia" w:ascii="仿宋_GB2312" w:hAnsi="仿宋_GB2312" w:eastAsia="仿宋_GB2312" w:cs="仿宋_GB2312"/>
          <w:color w:val="auto"/>
          <w:sz w:val="32"/>
          <w:szCs w:val="32"/>
        </w:rPr>
        <w:t>定期或不定期对医疗机构开展特需医疗服务的配置条件、服务内容、服务规模等情况进行</w:t>
      </w:r>
      <w:r>
        <w:rPr>
          <w:rFonts w:hint="eastAsia" w:ascii="仿宋_GB2312" w:hAnsi="仿宋_GB2312" w:eastAsia="仿宋_GB2312" w:cs="仿宋_GB2312"/>
          <w:color w:val="auto"/>
          <w:sz w:val="32"/>
          <w:szCs w:val="32"/>
          <w:lang w:eastAsia="zh-CN"/>
        </w:rPr>
        <w:t>考评</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考评</w:t>
      </w:r>
      <w:r>
        <w:rPr>
          <w:rFonts w:hint="eastAsia" w:ascii="仿宋_GB2312" w:hAnsi="仿宋_GB2312" w:eastAsia="仿宋_GB2312" w:cs="仿宋_GB2312"/>
          <w:color w:val="auto"/>
          <w:sz w:val="32"/>
          <w:szCs w:val="32"/>
        </w:rPr>
        <w:t>不符合有关要求的医疗机构，责成其定期整改，不整改或整改后仍不具备开展条件的，停止其开展特需医疗服务；对违反有关要求擅自扩大和增设特需医疗服务、不按规定备案、公示、违背患者意愿提供特需医疗服务等行为，经查实，严格依法处</w:t>
      </w:r>
      <w:r>
        <w:rPr>
          <w:rFonts w:hint="eastAsia" w:ascii="仿宋_GB2312" w:hAnsi="仿宋_GB2312" w:eastAsia="仿宋_GB2312" w:cs="仿宋_GB2312"/>
          <w:color w:val="auto"/>
          <w:sz w:val="32"/>
          <w:szCs w:val="32"/>
          <w:lang w:eastAsia="zh-CN"/>
        </w:rPr>
        <w:t>理</w:t>
      </w:r>
      <w:r>
        <w:rPr>
          <w:rFonts w:hint="eastAsia" w:ascii="仿宋_GB2312" w:hAnsi="仿宋_GB2312" w:eastAsia="仿宋_GB2312" w:cs="仿宋_GB2312"/>
          <w:color w:val="auto"/>
          <w:sz w:val="32"/>
          <w:szCs w:val="32"/>
        </w:rPr>
        <w:t>。</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医疗机构应当定期统计本机构特需医疗服务的情况，并及时向主管卫生健康行政部门、医疗保障部门报告或调整备案项目及价格。</w:t>
      </w:r>
    </w:p>
    <w:p>
      <w:pPr>
        <w:pStyle w:val="36"/>
        <w:numPr>
          <w:ilvl w:val="0"/>
          <w:numId w:val="1"/>
        </w:numPr>
        <w:spacing w:before="156" w:beforeLines="50" w:after="156" w:afterLines="50" w:line="560" w:lineRule="exact"/>
        <w:ind w:left="0" w:firstLine="640" w:firstLineChars="200"/>
        <w:jc w:val="center"/>
        <w:rPr>
          <w:rFonts w:hint="eastAsia" w:ascii="黑体" w:hAnsi="黑体" w:eastAsia="黑体" w:cs="黑体"/>
          <w:color w:val="auto"/>
          <w:sz w:val="32"/>
          <w:szCs w:val="32"/>
        </w:rPr>
      </w:pPr>
      <w:r>
        <w:rPr>
          <w:rFonts w:hint="eastAsia" w:ascii="黑体" w:hAnsi="黑体" w:eastAsia="黑体" w:cs="黑体"/>
          <w:color w:val="auto"/>
          <w:sz w:val="32"/>
          <w:szCs w:val="32"/>
        </w:rPr>
        <w:t>附则</w:t>
      </w:r>
    </w:p>
    <w:p>
      <w:pPr>
        <w:numPr>
          <w:ilvl w:val="0"/>
          <w:numId w:val="2"/>
        </w:num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本办法自印发之日起试行，有效期2年。《陕西省公立医疗机构特需医疗服务管理办法（暂行）》(2017年版)</w:t>
      </w:r>
      <w:r>
        <w:rPr>
          <w:rFonts w:hint="eastAsia" w:ascii="仿宋_GB2312" w:hAnsi="仿宋_GB2312" w:eastAsia="仿宋_GB2312" w:cs="仿宋_GB2312"/>
          <w:color w:val="auto"/>
          <w:sz w:val="32"/>
          <w:szCs w:val="32"/>
          <w:lang w:eastAsia="zh-CN"/>
        </w:rPr>
        <w:t>同时废止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国家出台有关新规定的，按照国家新规定执行。</w:t>
      </w:r>
    </w:p>
    <w:p>
      <w:pPr>
        <w:spacing w:after="0" w:line="560" w:lineRule="exact"/>
        <w:ind w:firstLine="640" w:firstLineChars="200"/>
        <w:rPr>
          <w:rFonts w:hint="eastAsia" w:ascii="仿宋_GB2312" w:hAnsi="仿宋_GB2312" w:eastAsia="仿宋_GB2312" w:cs="仿宋_GB2312"/>
          <w:color w:val="auto"/>
          <w:sz w:val="32"/>
          <w:szCs w:val="32"/>
        </w:rPr>
      </w:pPr>
    </w:p>
    <w:p>
      <w:pPr>
        <w:spacing w:after="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附件：陕西省特需医疗服务价格项目申报表</w:t>
      </w:r>
    </w:p>
    <w:p>
      <w:pPr>
        <w:spacing w:after="0" w:line="560" w:lineRule="exact"/>
        <w:ind w:firstLine="640" w:firstLineChars="200"/>
        <w:rPr>
          <w:rFonts w:hint="eastAsia" w:ascii="仿宋_GB2312" w:hAnsi="仿宋_GB2312" w:eastAsia="仿宋_GB2312" w:cs="仿宋_GB2312"/>
          <w:color w:val="auto"/>
          <w:sz w:val="32"/>
          <w:szCs w:val="32"/>
        </w:rPr>
        <w:sectPr>
          <w:pgSz w:w="11906" w:h="16838"/>
          <w:pgMar w:top="1701" w:right="1587" w:bottom="1587" w:left="1587" w:header="851" w:footer="992" w:gutter="0"/>
          <w:cols w:space="425" w:num="1"/>
          <w:docGrid w:type="lines" w:linePitch="312" w:charSpace="0"/>
        </w:sectPr>
      </w:pPr>
    </w:p>
    <w:p>
      <w:pPr>
        <w:spacing w:line="560" w:lineRule="exact"/>
        <w:rPr>
          <w:rFonts w:hint="eastAsia" w:ascii="黑体" w:hAnsi="黑体" w:eastAsia="黑体" w:cs="黑体"/>
          <w:color w:val="auto"/>
          <w:sz w:val="32"/>
          <w:shd w:val="clear" w:color="050000" w:fill="auto"/>
          <w:lang w:val="en-US" w:eastAsia="zh-CN"/>
        </w:rPr>
      </w:pPr>
      <w:r>
        <w:rPr>
          <w:rFonts w:hint="eastAsia" w:ascii="黑体" w:hAnsi="黑体" w:eastAsia="黑体" w:cs="黑体"/>
          <w:color w:val="auto"/>
          <w:sz w:val="32"/>
          <w:shd w:val="clear" w:color="050000" w:fill="auto"/>
        </w:rPr>
        <w:t>附件</w:t>
      </w:r>
    </w:p>
    <w:tbl>
      <w:tblPr>
        <w:tblStyle w:val="18"/>
        <w:tblW w:w="14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773"/>
        <w:gridCol w:w="1632"/>
        <w:gridCol w:w="1037"/>
        <w:gridCol w:w="362"/>
        <w:gridCol w:w="1600"/>
        <w:gridCol w:w="1256"/>
        <w:gridCol w:w="1195"/>
        <w:gridCol w:w="1285"/>
        <w:gridCol w:w="1213"/>
        <w:gridCol w:w="1253"/>
        <w:gridCol w:w="1437"/>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526" w:type="dxa"/>
            <w:gridSpan w:val="13"/>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sz w:val="44"/>
                <w:szCs w:val="44"/>
                <w:u w:val="none"/>
              </w:rPr>
            </w:pPr>
            <w:r>
              <w:rPr>
                <w:rFonts w:hint="eastAsia" w:ascii="方正小标宋简体" w:hAnsi="方正小标宋简体" w:eastAsia="方正小标宋简体" w:cs="方正小标宋简体"/>
                <w:color w:val="auto"/>
                <w:sz w:val="44"/>
                <w:szCs w:val="44"/>
              </w:rPr>
              <w:t>陕西省</w:t>
            </w:r>
            <w:r>
              <w:rPr>
                <w:rFonts w:hint="eastAsia" w:ascii="方正小标宋简体" w:hAnsi="方正小标宋简体" w:eastAsia="方正小标宋简体" w:cs="方正小标宋简体"/>
                <w:b w:val="0"/>
                <w:bCs/>
                <w:i w:val="0"/>
                <w:color w:val="000000"/>
                <w:kern w:val="0"/>
                <w:sz w:val="44"/>
                <w:szCs w:val="44"/>
                <w:u w:val="none"/>
                <w:lang w:val="en-US" w:eastAsia="zh-CN" w:bidi="ar"/>
              </w:rPr>
              <w:t>特需医疗服务（市场调节价）项目和价格情况表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4526" w:type="dxa"/>
            <w:gridSpan w:val="13"/>
            <w:tcBorders>
              <w:top w:val="nil"/>
              <w:left w:val="nil"/>
              <w:bottom w:val="nil"/>
              <w:right w:val="nil"/>
            </w:tcBorders>
            <w:noWrap/>
            <w:vAlign w:val="center"/>
          </w:tcPr>
          <w:p>
            <w:pPr>
              <w:keepNext w:val="0"/>
              <w:keepLines w:val="0"/>
              <w:widowControl/>
              <w:suppressLineNumbers w:val="0"/>
              <w:spacing w:before="0" w:beforeAutospacing="0" w:after="0" w:afterAutospacing="0" w:line="560" w:lineRule="exact"/>
              <w:ind w:left="0" w:right="0"/>
              <w:jc w:val="both"/>
              <w:textAlignment w:val="center"/>
              <w:rPr>
                <w:rFonts w:hint="eastAsia" w:ascii="黑体" w:hAnsi="黑体" w:eastAsia="黑体" w:cs="黑体"/>
                <w:b w:val="0"/>
                <w:bCs w:val="0"/>
                <w:i w:val="0"/>
                <w:color w:val="000000"/>
                <w:kern w:val="0"/>
                <w:sz w:val="24"/>
                <w:szCs w:val="24"/>
                <w:u w:val="none"/>
                <w:lang w:bidi="ar"/>
              </w:rPr>
            </w:pPr>
            <w:r>
              <w:rPr>
                <w:rFonts w:hint="eastAsia" w:ascii="黑体" w:hAnsi="黑体" w:eastAsia="黑体" w:cs="黑体"/>
                <w:b w:val="0"/>
                <w:bCs w:val="0"/>
                <w:i w:val="0"/>
                <w:color w:val="000000"/>
                <w:kern w:val="0"/>
                <w:sz w:val="24"/>
                <w:szCs w:val="24"/>
                <w:u w:val="none"/>
                <w:lang w:val="en-US" w:eastAsia="zh-CN" w:bidi="ar"/>
              </w:rPr>
              <w:t>医疗机构名称（公章）：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154" w:type="dxa"/>
            <w:gridSpan w:val="4"/>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center"/>
              <w:rPr>
                <w:rFonts w:hint="eastAsia" w:ascii="黑体" w:hAnsi="黑体" w:eastAsia="黑体" w:cs="黑体"/>
                <w:b w:val="0"/>
                <w:bCs w:val="0"/>
                <w:i w:val="0"/>
                <w:color w:val="000000"/>
                <w:kern w:val="0"/>
                <w:sz w:val="24"/>
                <w:szCs w:val="24"/>
                <w:u w:val="none"/>
                <w:lang w:bidi="ar"/>
              </w:rPr>
            </w:pPr>
            <w:r>
              <w:rPr>
                <w:rFonts w:hint="eastAsia" w:ascii="黑体" w:hAnsi="黑体" w:eastAsia="黑体" w:cs="黑体"/>
                <w:b w:val="0"/>
                <w:bCs w:val="0"/>
                <w:i w:val="0"/>
                <w:color w:val="000000"/>
                <w:kern w:val="0"/>
                <w:sz w:val="24"/>
                <w:szCs w:val="24"/>
                <w:u w:val="none"/>
                <w:lang w:val="en-US" w:eastAsia="zh-CN" w:bidi="ar"/>
              </w:rPr>
              <w:t>特需服务项目数量合计：</w:t>
            </w:r>
          </w:p>
        </w:tc>
        <w:tc>
          <w:tcPr>
            <w:tcW w:w="10372" w:type="dxa"/>
            <w:gridSpan w:val="9"/>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center"/>
              <w:rPr>
                <w:rFonts w:hint="eastAsia" w:ascii="黑体" w:hAnsi="黑体" w:eastAsia="黑体" w:cs="黑体"/>
                <w:b w:val="0"/>
                <w:bCs w:val="0"/>
                <w:i w:val="0"/>
                <w:color w:val="000000"/>
                <w:kern w:val="0"/>
                <w:sz w:val="24"/>
                <w:szCs w:val="24"/>
                <w:u w:val="none"/>
                <w:lang w:bidi="ar"/>
              </w:rPr>
            </w:pPr>
            <w:r>
              <w:rPr>
                <w:rFonts w:hint="eastAsia" w:ascii="黑体" w:hAnsi="黑体" w:eastAsia="黑体" w:cs="黑体"/>
                <w:b w:val="0"/>
                <w:bCs w:val="0"/>
                <w:i w:val="0"/>
                <w:color w:val="000000"/>
                <w:kern w:val="0"/>
                <w:sz w:val="24"/>
                <w:szCs w:val="24"/>
                <w:u w:val="none"/>
                <w:lang w:val="en-US" w:eastAsia="zh-CN" w:bidi="ar"/>
              </w:rPr>
              <w:t>实行市场调节价的项目（含特需服务项目和试行期内新增项目）项目数量：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154" w:type="dxa"/>
            <w:gridSpan w:val="4"/>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金额单位：     元</w:t>
            </w:r>
          </w:p>
        </w:tc>
        <w:tc>
          <w:tcPr>
            <w:tcW w:w="10372" w:type="dxa"/>
            <w:gridSpan w:val="9"/>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left"/>
              <w:textAlignment w:val="center"/>
              <w:rPr>
                <w:rFonts w:hint="eastAsia" w:ascii="黑体" w:hAnsi="黑体" w:eastAsia="黑体" w:cs="黑体"/>
                <w:b w:val="0"/>
                <w:bCs w:val="0"/>
                <w:i w:val="0"/>
                <w:color w:val="000000"/>
                <w:kern w:val="0"/>
                <w:sz w:val="24"/>
                <w:szCs w:val="24"/>
                <w:u w:val="none"/>
                <w:lang w:val="en-US" w:eastAsia="zh-CN" w:bidi="ar"/>
              </w:rPr>
            </w:pPr>
            <w:r>
              <w:rPr>
                <w:rFonts w:hint="eastAsia" w:ascii="黑体" w:hAnsi="黑体" w:eastAsia="黑体" w:cs="黑体"/>
                <w:b w:val="0"/>
                <w:bCs w:val="0"/>
                <w:i w:val="0"/>
                <w:color w:val="000000"/>
                <w:kern w:val="0"/>
                <w:sz w:val="24"/>
                <w:szCs w:val="24"/>
                <w:u w:val="none"/>
                <w:lang w:val="en-US" w:eastAsia="zh-CN" w:bidi="ar"/>
              </w:rPr>
              <w:t>申报日期：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rPr>
              <w:t>序号</w:t>
            </w:r>
          </w:p>
        </w:tc>
        <w:tc>
          <w:tcPr>
            <w:tcW w:w="773"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rPr>
              <w:t>编码</w:t>
            </w:r>
          </w:p>
        </w:tc>
        <w:tc>
          <w:tcPr>
            <w:tcW w:w="163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rPr>
              <w:t>项目名称</w:t>
            </w:r>
          </w:p>
        </w:tc>
        <w:tc>
          <w:tcPr>
            <w:tcW w:w="1399" w:type="dxa"/>
            <w:gridSpan w:val="2"/>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lang w:eastAsia="zh-CN"/>
              </w:rPr>
              <w:t>服务产出</w:t>
            </w:r>
          </w:p>
        </w:tc>
        <w:tc>
          <w:tcPr>
            <w:tcW w:w="1600"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价格构成</w:t>
            </w:r>
          </w:p>
        </w:tc>
        <w:tc>
          <w:tcPr>
            <w:tcW w:w="1256"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加收项</w:t>
            </w:r>
          </w:p>
        </w:tc>
        <w:tc>
          <w:tcPr>
            <w:tcW w:w="1195"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扩展项</w:t>
            </w:r>
          </w:p>
        </w:tc>
        <w:tc>
          <w:tcPr>
            <w:tcW w:w="1285"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rPr>
              <w:t>计价单位</w:t>
            </w:r>
          </w:p>
        </w:tc>
        <w:tc>
          <w:tcPr>
            <w:tcW w:w="1213"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计价说明</w:t>
            </w:r>
          </w:p>
        </w:tc>
        <w:tc>
          <w:tcPr>
            <w:tcW w:w="1253"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rPr>
              <w:t>价格（元）</w:t>
            </w:r>
          </w:p>
        </w:tc>
        <w:tc>
          <w:tcPr>
            <w:tcW w:w="1437"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rPr>
              <w:t>拟执行时间</w:t>
            </w:r>
          </w:p>
        </w:tc>
        <w:tc>
          <w:tcPr>
            <w:tcW w:w="771"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s="黑体"/>
                <w:color w:val="auto"/>
                <w:kern w:val="0"/>
                <w:sz w:val="24"/>
              </w:rPr>
            </w:pPr>
            <w:r>
              <w:rPr>
                <w:rFonts w:hint="eastAsia" w:ascii="黑体" w:hAnsi="黑体" w:eastAsia="黑体" w:cs="黑体"/>
                <w:color w:val="auto"/>
                <w:kern w:val="0"/>
                <w:sz w:val="24"/>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39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19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8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1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4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39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19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8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1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4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39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19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8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1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4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39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19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8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1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4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39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19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8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1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4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3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39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6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6"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19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8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1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253"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1437"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c>
          <w:tcPr>
            <w:tcW w:w="77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auto"/>
                <w:kern w:val="0"/>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7855"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auto"/>
                <w:kern w:val="0"/>
                <w:szCs w:val="22"/>
              </w:rPr>
            </w:pPr>
            <w:r>
              <w:rPr>
                <w:rFonts w:hint="default" w:ascii="Times New Roman" w:hAnsi="Times New Roman" w:eastAsia="仿宋_GB2312" w:cs="Times New Roman"/>
                <w:i w:val="0"/>
                <w:color w:val="000000"/>
                <w:kern w:val="0"/>
                <w:sz w:val="24"/>
                <w:szCs w:val="24"/>
                <w:u w:val="none"/>
                <w:lang w:val="en-US" w:eastAsia="zh-CN" w:bidi="ar"/>
              </w:rPr>
              <w:t>特需医疗服务收入占医疗机构年度医疗收入比例（%）</w:t>
            </w:r>
          </w:p>
        </w:tc>
        <w:tc>
          <w:tcPr>
            <w:tcW w:w="375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220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eastAsiaTheme="minorEastAsia"/>
                <w:color w:val="auto"/>
                <w:kern w:val="0"/>
                <w:szCs w:val="22"/>
                <w:lang w:eastAsia="zh-CN"/>
              </w:rPr>
            </w:pPr>
            <w:r>
              <w:rPr>
                <w:rFonts w:hint="eastAsia" w:ascii="Times New Roman" w:hAnsi="Times New Roman" w:eastAsia="仿宋_GB2312" w:cs="Times New Roman"/>
                <w:i w:val="0"/>
                <w:color w:val="000000"/>
                <w:kern w:val="0"/>
                <w:sz w:val="24"/>
                <w:szCs w:val="24"/>
                <w:u w:val="none"/>
                <w:lang w:val="en-US" w:eastAsia="zh-CN" w:bidi="ar"/>
              </w:rPr>
              <w:t>年度填报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7855" w:type="dxa"/>
            <w:gridSpan w:val="7"/>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auto"/>
                <w:kern w:val="0"/>
                <w:szCs w:val="22"/>
              </w:rPr>
            </w:pPr>
            <w:r>
              <w:rPr>
                <w:rFonts w:hint="default" w:ascii="Times New Roman" w:hAnsi="Times New Roman" w:eastAsia="仿宋_GB2312" w:cs="Times New Roman"/>
                <w:i w:val="0"/>
                <w:color w:val="000000"/>
                <w:kern w:val="0"/>
                <w:sz w:val="24"/>
                <w:szCs w:val="24"/>
                <w:u w:val="none"/>
                <w:lang w:val="en-US" w:eastAsia="zh-CN" w:bidi="ar"/>
              </w:rPr>
              <w:t>实行市场调节价的项目（含特需服务项目和试行期内新增项目）占医疗机构年度医疗收入比例（%）</w:t>
            </w:r>
          </w:p>
        </w:tc>
        <w:tc>
          <w:tcPr>
            <w:tcW w:w="375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220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lang w:eastAsia="zh-CN"/>
              </w:rPr>
            </w:pPr>
            <w:r>
              <w:rPr>
                <w:rFonts w:hint="eastAsia" w:ascii="Times New Roman" w:hAnsi="Times New Roman" w:eastAsia="仿宋_GB2312" w:cs="Times New Roman"/>
                <w:i w:val="0"/>
                <w:color w:val="000000"/>
                <w:kern w:val="0"/>
                <w:sz w:val="24"/>
                <w:szCs w:val="24"/>
                <w:u w:val="none"/>
                <w:lang w:val="en-US" w:eastAsia="zh-CN" w:bidi="ar"/>
              </w:rPr>
              <w:t>年度填报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7855" w:type="dxa"/>
            <w:gridSpan w:val="7"/>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auto"/>
                <w:kern w:val="0"/>
                <w:szCs w:val="22"/>
              </w:rPr>
            </w:pPr>
            <w:r>
              <w:rPr>
                <w:rFonts w:hint="default" w:ascii="Times New Roman" w:hAnsi="Times New Roman" w:eastAsia="仿宋_GB2312" w:cs="Times New Roman"/>
                <w:i w:val="0"/>
                <w:color w:val="000000"/>
                <w:kern w:val="0"/>
                <w:sz w:val="24"/>
                <w:szCs w:val="24"/>
                <w:u w:val="none"/>
                <w:lang w:val="en-US" w:eastAsia="zh-CN" w:bidi="ar"/>
              </w:rPr>
              <w:t>特需服务项目占医疗机构年度</w:t>
            </w:r>
            <w:r>
              <w:rPr>
                <w:rFonts w:hint="eastAsia" w:eastAsia="仿宋_GB2312" w:cs="Times New Roman"/>
                <w:i w:val="0"/>
                <w:color w:val="000000"/>
                <w:kern w:val="0"/>
                <w:sz w:val="24"/>
                <w:szCs w:val="24"/>
                <w:u w:val="none"/>
                <w:lang w:val="en-US" w:eastAsia="zh-CN" w:bidi="ar"/>
              </w:rPr>
              <w:t>已</w:t>
            </w:r>
            <w:r>
              <w:rPr>
                <w:rFonts w:hint="default" w:ascii="Times New Roman" w:hAnsi="Times New Roman" w:eastAsia="仿宋_GB2312" w:cs="Times New Roman"/>
                <w:i w:val="0"/>
                <w:color w:val="000000"/>
                <w:kern w:val="0"/>
                <w:sz w:val="24"/>
                <w:szCs w:val="24"/>
                <w:u w:val="none"/>
                <w:lang w:val="en-US" w:eastAsia="zh-CN" w:bidi="ar"/>
              </w:rPr>
              <w:t>开展的医疗服务价格项目比例（%）</w:t>
            </w:r>
          </w:p>
        </w:tc>
        <w:tc>
          <w:tcPr>
            <w:tcW w:w="375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2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lang w:eastAsia="zh-CN"/>
              </w:rPr>
            </w:pPr>
            <w:r>
              <w:rPr>
                <w:rFonts w:hint="eastAsia" w:ascii="Times New Roman" w:hAnsi="Times New Roman" w:eastAsia="仿宋_GB2312" w:cs="Times New Roman"/>
                <w:i w:val="0"/>
                <w:color w:val="000000"/>
                <w:kern w:val="0"/>
                <w:sz w:val="24"/>
                <w:szCs w:val="24"/>
                <w:u w:val="none"/>
                <w:lang w:val="en-US" w:eastAsia="zh-CN" w:bidi="ar"/>
              </w:rPr>
              <w:t>年度填报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7855" w:type="dxa"/>
            <w:gridSpan w:val="7"/>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auto"/>
                <w:kern w:val="0"/>
                <w:szCs w:val="22"/>
              </w:rPr>
            </w:pPr>
            <w:r>
              <w:rPr>
                <w:rFonts w:hint="default" w:ascii="Times New Roman" w:hAnsi="Times New Roman" w:eastAsia="仿宋_GB2312" w:cs="Times New Roman"/>
                <w:i w:val="0"/>
                <w:color w:val="000000"/>
                <w:kern w:val="0"/>
                <w:sz w:val="24"/>
                <w:szCs w:val="24"/>
                <w:u w:val="none"/>
                <w:lang w:val="en-US" w:eastAsia="zh-CN" w:bidi="ar"/>
              </w:rPr>
              <w:t>实行市场调节价的项目（含特需服务项目和试行期内新增项目）占医疗机构年度</w:t>
            </w:r>
            <w:r>
              <w:rPr>
                <w:rFonts w:hint="eastAsia" w:eastAsia="仿宋_GB2312" w:cs="Times New Roman"/>
                <w:i w:val="0"/>
                <w:color w:val="000000"/>
                <w:kern w:val="0"/>
                <w:sz w:val="24"/>
                <w:szCs w:val="24"/>
                <w:u w:val="none"/>
                <w:lang w:val="en-US" w:eastAsia="zh-CN" w:bidi="ar"/>
              </w:rPr>
              <w:t>已</w:t>
            </w:r>
            <w:r>
              <w:rPr>
                <w:rFonts w:hint="default" w:ascii="Times New Roman" w:hAnsi="Times New Roman" w:eastAsia="仿宋_GB2312" w:cs="Times New Roman"/>
                <w:i w:val="0"/>
                <w:color w:val="000000"/>
                <w:kern w:val="0"/>
                <w:sz w:val="24"/>
                <w:szCs w:val="24"/>
                <w:u w:val="none"/>
                <w:lang w:val="en-US" w:eastAsia="zh-CN" w:bidi="ar"/>
              </w:rPr>
              <w:t>开展的医疗服务价格项目总数量比例（%）</w:t>
            </w:r>
          </w:p>
        </w:tc>
        <w:tc>
          <w:tcPr>
            <w:tcW w:w="375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2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lang w:eastAsia="zh-CN"/>
              </w:rPr>
            </w:pPr>
            <w:r>
              <w:rPr>
                <w:rFonts w:hint="eastAsia" w:ascii="Times New Roman" w:hAnsi="Times New Roman" w:eastAsia="仿宋_GB2312" w:cs="Times New Roman"/>
                <w:i w:val="0"/>
                <w:color w:val="000000"/>
                <w:kern w:val="0"/>
                <w:sz w:val="24"/>
                <w:szCs w:val="24"/>
                <w:u w:val="none"/>
                <w:lang w:val="en-US" w:eastAsia="zh-CN" w:bidi="ar"/>
              </w:rPr>
              <w:t>年度填报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3" w:hRule="atLeast"/>
          <w:jc w:val="center"/>
        </w:trPr>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7855" w:type="dxa"/>
            <w:gridSpan w:val="7"/>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cs="宋体"/>
                <w:color w:val="auto"/>
                <w:kern w:val="0"/>
                <w:szCs w:val="22"/>
              </w:rPr>
            </w:pPr>
            <w:r>
              <w:rPr>
                <w:rFonts w:hint="default" w:ascii="Times New Roman" w:hAnsi="Times New Roman" w:eastAsia="仿宋_GB2312" w:cs="Times New Roman"/>
                <w:i w:val="0"/>
                <w:color w:val="000000"/>
                <w:kern w:val="0"/>
                <w:sz w:val="24"/>
                <w:szCs w:val="24"/>
                <w:u w:val="none"/>
                <w:lang w:val="en-US" w:eastAsia="zh-CN" w:bidi="ar"/>
              </w:rPr>
              <w:t>上年度已开展的基本医疗服务项目数量及服务量</w:t>
            </w:r>
          </w:p>
        </w:tc>
        <w:tc>
          <w:tcPr>
            <w:tcW w:w="3751"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rPr>
            </w:pPr>
          </w:p>
        </w:tc>
        <w:tc>
          <w:tcPr>
            <w:tcW w:w="22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eastAsia" w:ascii="宋体" w:hAnsi="宋体" w:cs="宋体"/>
                <w:color w:val="auto"/>
                <w:kern w:val="0"/>
                <w:szCs w:val="22"/>
                <w:lang w:eastAsia="zh-CN"/>
              </w:rPr>
            </w:pPr>
            <w:r>
              <w:rPr>
                <w:rFonts w:hint="eastAsia" w:ascii="Times New Roman" w:hAnsi="Times New Roman" w:eastAsia="仿宋_GB2312" w:cs="Times New Roman"/>
                <w:i w:val="0"/>
                <w:color w:val="000000"/>
                <w:kern w:val="0"/>
                <w:sz w:val="24"/>
                <w:szCs w:val="24"/>
                <w:u w:val="none"/>
                <w:lang w:val="en-US" w:eastAsia="zh-CN" w:bidi="ar"/>
              </w:rPr>
              <w:t>年度填报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485" w:type="dxa"/>
            <w:gridSpan w:val="2"/>
            <w:tcBorders>
              <w:top w:val="nil"/>
              <w:left w:val="nil"/>
              <w:bottom w:val="nil"/>
              <w:right w:val="nil"/>
            </w:tcBorders>
            <w:vAlign w:val="center"/>
          </w:tcPr>
          <w:p>
            <w:pPr>
              <w:widowControl/>
              <w:jc w:val="center"/>
              <w:rPr>
                <w:rFonts w:hint="eastAsia" w:ascii="宋体" w:hAnsi="宋体" w:cs="宋体" w:eastAsiaTheme="minorEastAsia"/>
                <w:color w:val="auto"/>
                <w:kern w:val="0"/>
                <w:szCs w:val="22"/>
                <w:lang w:eastAsia="zh-CN"/>
              </w:rPr>
            </w:pPr>
            <w:r>
              <w:rPr>
                <w:rFonts w:hint="eastAsia" w:ascii="宋体" w:hAnsi="宋体" w:cs="宋体"/>
                <w:color w:val="auto"/>
                <w:kern w:val="0"/>
                <w:szCs w:val="22"/>
                <w:lang w:eastAsia="zh-CN"/>
              </w:rPr>
              <w:t>使用说明：</w:t>
            </w:r>
          </w:p>
        </w:tc>
        <w:tc>
          <w:tcPr>
            <w:tcW w:w="1632" w:type="dxa"/>
            <w:tcBorders>
              <w:top w:val="nil"/>
              <w:left w:val="nil"/>
              <w:bottom w:val="nil"/>
              <w:right w:val="nil"/>
            </w:tcBorders>
            <w:vAlign w:val="center"/>
          </w:tcPr>
          <w:p>
            <w:pPr>
              <w:widowControl/>
              <w:jc w:val="center"/>
              <w:rPr>
                <w:rFonts w:hint="eastAsia" w:ascii="宋体" w:hAnsi="宋体" w:cs="宋体"/>
                <w:color w:val="auto"/>
                <w:kern w:val="0"/>
                <w:szCs w:val="22"/>
              </w:rPr>
            </w:pPr>
          </w:p>
        </w:tc>
        <w:tc>
          <w:tcPr>
            <w:tcW w:w="1399" w:type="dxa"/>
            <w:gridSpan w:val="2"/>
            <w:tcBorders>
              <w:top w:val="nil"/>
              <w:left w:val="nil"/>
              <w:bottom w:val="nil"/>
              <w:right w:val="nil"/>
            </w:tcBorders>
            <w:vAlign w:val="center"/>
          </w:tcPr>
          <w:p>
            <w:pPr>
              <w:widowControl/>
              <w:jc w:val="center"/>
              <w:rPr>
                <w:rFonts w:hint="eastAsia" w:ascii="宋体" w:hAnsi="宋体" w:cs="宋体"/>
                <w:color w:val="auto"/>
                <w:kern w:val="0"/>
                <w:szCs w:val="22"/>
              </w:rPr>
            </w:pPr>
          </w:p>
        </w:tc>
        <w:tc>
          <w:tcPr>
            <w:tcW w:w="1600" w:type="dxa"/>
            <w:tcBorders>
              <w:top w:val="nil"/>
              <w:left w:val="nil"/>
              <w:bottom w:val="nil"/>
              <w:right w:val="nil"/>
            </w:tcBorders>
            <w:vAlign w:val="center"/>
          </w:tcPr>
          <w:p>
            <w:pPr>
              <w:widowControl/>
              <w:jc w:val="center"/>
              <w:rPr>
                <w:rFonts w:hint="eastAsia" w:ascii="宋体" w:hAnsi="宋体" w:cs="宋体"/>
                <w:color w:val="auto"/>
                <w:kern w:val="0"/>
                <w:szCs w:val="22"/>
              </w:rPr>
            </w:pPr>
          </w:p>
        </w:tc>
        <w:tc>
          <w:tcPr>
            <w:tcW w:w="1256" w:type="dxa"/>
            <w:tcBorders>
              <w:top w:val="nil"/>
              <w:left w:val="nil"/>
              <w:bottom w:val="nil"/>
              <w:right w:val="nil"/>
            </w:tcBorders>
            <w:vAlign w:val="center"/>
          </w:tcPr>
          <w:p>
            <w:pPr>
              <w:widowControl/>
              <w:jc w:val="center"/>
              <w:rPr>
                <w:rFonts w:hint="eastAsia" w:ascii="宋体" w:hAnsi="宋体" w:cs="宋体"/>
                <w:color w:val="auto"/>
                <w:kern w:val="0"/>
                <w:szCs w:val="22"/>
              </w:rPr>
            </w:pPr>
          </w:p>
        </w:tc>
        <w:tc>
          <w:tcPr>
            <w:tcW w:w="1195" w:type="dxa"/>
            <w:tcBorders>
              <w:top w:val="nil"/>
              <w:left w:val="nil"/>
              <w:bottom w:val="nil"/>
              <w:right w:val="nil"/>
            </w:tcBorders>
            <w:vAlign w:val="center"/>
          </w:tcPr>
          <w:p>
            <w:pPr>
              <w:widowControl/>
              <w:jc w:val="center"/>
              <w:rPr>
                <w:rFonts w:hint="eastAsia" w:ascii="宋体" w:hAnsi="宋体" w:cs="宋体"/>
                <w:color w:val="auto"/>
                <w:kern w:val="0"/>
                <w:szCs w:val="22"/>
              </w:rPr>
            </w:pPr>
          </w:p>
        </w:tc>
        <w:tc>
          <w:tcPr>
            <w:tcW w:w="1285" w:type="dxa"/>
            <w:tcBorders>
              <w:top w:val="nil"/>
              <w:left w:val="nil"/>
              <w:bottom w:val="nil"/>
              <w:right w:val="nil"/>
            </w:tcBorders>
            <w:vAlign w:val="center"/>
          </w:tcPr>
          <w:p>
            <w:pPr>
              <w:spacing w:line="560" w:lineRule="exact"/>
              <w:rPr>
                <w:rFonts w:hint="eastAsia" w:ascii="仿宋_GB2312" w:hAnsi="仿宋_GB2312" w:eastAsia="仿宋_GB2312" w:cs="仿宋_GB2312"/>
                <w:color w:val="auto"/>
                <w:sz w:val="24"/>
                <w:shd w:val="clear" w:color="050000" w:fill="auto"/>
              </w:rPr>
            </w:pPr>
            <w:r>
              <w:rPr>
                <w:rFonts w:hint="eastAsia" w:ascii="仿宋_GB2312" w:hAnsi="仿宋_GB2312" w:eastAsia="仿宋_GB2312" w:cs="仿宋_GB2312"/>
                <w:color w:val="auto"/>
                <w:sz w:val="24"/>
                <w:shd w:val="clear" w:color="050000" w:fill="auto"/>
              </w:rPr>
              <w:t>联系人：</w:t>
            </w:r>
          </w:p>
        </w:tc>
        <w:tc>
          <w:tcPr>
            <w:tcW w:w="1213" w:type="dxa"/>
            <w:tcBorders>
              <w:top w:val="nil"/>
              <w:left w:val="nil"/>
              <w:bottom w:val="nil"/>
              <w:right w:val="nil"/>
            </w:tcBorders>
            <w:vAlign w:val="center"/>
          </w:tcPr>
          <w:p>
            <w:pPr>
              <w:spacing w:line="560" w:lineRule="exact"/>
              <w:rPr>
                <w:rFonts w:hint="eastAsia" w:ascii="仿宋_GB2312" w:hAnsi="仿宋_GB2312" w:eastAsia="仿宋_GB2312" w:cs="仿宋_GB2312"/>
                <w:color w:val="auto"/>
                <w:sz w:val="24"/>
                <w:shd w:val="clear" w:color="050000" w:fill="auto"/>
              </w:rPr>
            </w:pPr>
          </w:p>
        </w:tc>
        <w:tc>
          <w:tcPr>
            <w:tcW w:w="1253" w:type="dxa"/>
            <w:tcBorders>
              <w:top w:val="nil"/>
              <w:left w:val="nil"/>
              <w:bottom w:val="nil"/>
              <w:right w:val="nil"/>
            </w:tcBorders>
            <w:vAlign w:val="center"/>
          </w:tcPr>
          <w:p>
            <w:pPr>
              <w:spacing w:line="560" w:lineRule="exact"/>
              <w:rPr>
                <w:rFonts w:hint="eastAsia" w:ascii="仿宋_GB2312" w:hAnsi="仿宋_GB2312" w:eastAsia="仿宋_GB2312" w:cs="仿宋_GB2312"/>
                <w:color w:val="auto"/>
                <w:sz w:val="24"/>
                <w:shd w:val="clear" w:color="050000" w:fill="auto"/>
              </w:rPr>
            </w:pPr>
          </w:p>
        </w:tc>
        <w:tc>
          <w:tcPr>
            <w:tcW w:w="1437" w:type="dxa"/>
            <w:tcBorders>
              <w:top w:val="nil"/>
              <w:left w:val="nil"/>
              <w:bottom w:val="nil"/>
              <w:right w:val="nil"/>
            </w:tcBorders>
            <w:vAlign w:val="center"/>
          </w:tcPr>
          <w:p>
            <w:pPr>
              <w:spacing w:line="560" w:lineRule="exact"/>
              <w:rPr>
                <w:rFonts w:hint="eastAsia" w:ascii="仿宋_GB2312" w:hAnsi="仿宋_GB2312" w:eastAsia="仿宋_GB2312" w:cs="仿宋_GB2312"/>
                <w:color w:val="auto"/>
                <w:sz w:val="24"/>
                <w:shd w:val="clear" w:color="050000" w:fill="auto"/>
              </w:rPr>
            </w:pPr>
            <w:r>
              <w:rPr>
                <w:rFonts w:hint="eastAsia" w:ascii="仿宋_GB2312" w:hAnsi="仿宋_GB2312" w:eastAsia="仿宋_GB2312" w:cs="仿宋_GB2312"/>
                <w:color w:val="auto"/>
                <w:sz w:val="24"/>
                <w:shd w:val="clear" w:color="050000" w:fill="auto"/>
              </w:rPr>
              <w:t xml:space="preserve"> 联系电话：</w:t>
            </w:r>
          </w:p>
        </w:tc>
        <w:tc>
          <w:tcPr>
            <w:tcW w:w="771" w:type="dxa"/>
            <w:tcBorders>
              <w:top w:val="nil"/>
              <w:left w:val="nil"/>
              <w:bottom w:val="nil"/>
              <w:right w:val="nil"/>
            </w:tcBorders>
            <w:vAlign w:val="center"/>
          </w:tcPr>
          <w:p>
            <w:pPr>
              <w:spacing w:line="560" w:lineRule="exact"/>
              <w:rPr>
                <w:rFonts w:hint="eastAsia" w:ascii="仿宋_GB2312" w:hAnsi="仿宋_GB2312" w:eastAsia="仿宋_GB2312" w:cs="仿宋_GB2312"/>
                <w:color w:val="auto"/>
                <w:sz w:val="24"/>
                <w:shd w:val="clear" w:color="050000" w:fill="auto"/>
              </w:rPr>
            </w:pPr>
          </w:p>
        </w:tc>
      </w:tr>
    </w:tbl>
    <w:p>
      <w:pPr>
        <w:spacing w:after="0" w:line="560" w:lineRule="exact"/>
        <w:ind w:firstLine="640" w:firstLineChars="200"/>
        <w:rPr>
          <w:rFonts w:hint="eastAsia" w:ascii="仿宋_GB2312" w:hAnsi="仿宋_GB2312" w:eastAsia="仿宋_GB2312" w:cs="仿宋_GB2312"/>
          <w:color w:val="auto"/>
          <w:sz w:val="32"/>
          <w:szCs w:val="32"/>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KswHannyaotamesi"/>
    <w:panose1 w:val="00000000000000000000"/>
    <w:charset w:val="00"/>
    <w:family w:val="auto"/>
    <w:pitch w:val="default"/>
    <w:sig w:usb0="00000000" w:usb1="00000000" w:usb2="00000000" w:usb3="00000000" w:csb0="00000000" w:csb1="00000000"/>
  </w:font>
  <w:font w:name="KswHannyaotamesi">
    <w:panose1 w:val="02000609000000000000"/>
    <w:charset w:val="80"/>
    <w:family w:val="auto"/>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E64A1"/>
    <w:multiLevelType w:val="multilevel"/>
    <w:tmpl w:val="034E64A1"/>
    <w:lvl w:ilvl="0" w:tentative="0">
      <w:start w:val="1"/>
      <w:numFmt w:val="japaneseCounting"/>
      <w:lvlText w:val="第%1章"/>
      <w:lvlJc w:val="left"/>
      <w:pPr>
        <w:ind w:left="878" w:hanging="878"/>
      </w:pPr>
      <w:rPr>
        <w:rFonts w:hint="eastAsia" w:ascii="黑体" w:hAnsi="黑体" w:eastAsia="黑体" w:cs="黑体"/>
        <w:b w:val="0"/>
        <w:bCs w:val="0"/>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ACEEEA0"/>
    <w:multiLevelType w:val="singleLevel"/>
    <w:tmpl w:val="6ACEEEA0"/>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86"/>
    <w:rsid w:val="00022E4F"/>
    <w:rsid w:val="00056C13"/>
    <w:rsid w:val="00087D5B"/>
    <w:rsid w:val="000A69E1"/>
    <w:rsid w:val="000D1F45"/>
    <w:rsid w:val="000D2DEA"/>
    <w:rsid w:val="001256AC"/>
    <w:rsid w:val="00144355"/>
    <w:rsid w:val="00154055"/>
    <w:rsid w:val="00180068"/>
    <w:rsid w:val="00266164"/>
    <w:rsid w:val="002F0F85"/>
    <w:rsid w:val="00303592"/>
    <w:rsid w:val="00342150"/>
    <w:rsid w:val="003E52D9"/>
    <w:rsid w:val="00425EAE"/>
    <w:rsid w:val="00440B6F"/>
    <w:rsid w:val="004560E4"/>
    <w:rsid w:val="004571B5"/>
    <w:rsid w:val="00497C23"/>
    <w:rsid w:val="004E19E6"/>
    <w:rsid w:val="00505B31"/>
    <w:rsid w:val="005B77E8"/>
    <w:rsid w:val="005F6DF0"/>
    <w:rsid w:val="00622A86"/>
    <w:rsid w:val="00674A0C"/>
    <w:rsid w:val="00687BAA"/>
    <w:rsid w:val="006F2823"/>
    <w:rsid w:val="00766208"/>
    <w:rsid w:val="007D38A9"/>
    <w:rsid w:val="008915A5"/>
    <w:rsid w:val="00916909"/>
    <w:rsid w:val="00935F71"/>
    <w:rsid w:val="00937585"/>
    <w:rsid w:val="00952CF4"/>
    <w:rsid w:val="0099152C"/>
    <w:rsid w:val="00996F81"/>
    <w:rsid w:val="009E2A52"/>
    <w:rsid w:val="009F183D"/>
    <w:rsid w:val="00A0150F"/>
    <w:rsid w:val="00A032A2"/>
    <w:rsid w:val="00A20FC0"/>
    <w:rsid w:val="00A27799"/>
    <w:rsid w:val="00A42E47"/>
    <w:rsid w:val="00A646AA"/>
    <w:rsid w:val="00A70EE5"/>
    <w:rsid w:val="00A967DB"/>
    <w:rsid w:val="00AA7440"/>
    <w:rsid w:val="00AB393D"/>
    <w:rsid w:val="00AB759A"/>
    <w:rsid w:val="00B17517"/>
    <w:rsid w:val="00B36606"/>
    <w:rsid w:val="00B51547"/>
    <w:rsid w:val="00B7236A"/>
    <w:rsid w:val="00BA3B08"/>
    <w:rsid w:val="00BB14F8"/>
    <w:rsid w:val="00C072A6"/>
    <w:rsid w:val="00C13002"/>
    <w:rsid w:val="00CE19DE"/>
    <w:rsid w:val="00D776C4"/>
    <w:rsid w:val="00E255DB"/>
    <w:rsid w:val="00F06925"/>
    <w:rsid w:val="00FC6A92"/>
    <w:rsid w:val="00FD14B2"/>
    <w:rsid w:val="00FD5EAD"/>
    <w:rsid w:val="013359F3"/>
    <w:rsid w:val="015E20D1"/>
    <w:rsid w:val="01691083"/>
    <w:rsid w:val="01CB6403"/>
    <w:rsid w:val="02DC2EC1"/>
    <w:rsid w:val="03445CFC"/>
    <w:rsid w:val="037B11F4"/>
    <w:rsid w:val="03945A38"/>
    <w:rsid w:val="039F687B"/>
    <w:rsid w:val="03D246E7"/>
    <w:rsid w:val="047C1AB1"/>
    <w:rsid w:val="047E0327"/>
    <w:rsid w:val="05202C21"/>
    <w:rsid w:val="05575ECF"/>
    <w:rsid w:val="07222F4C"/>
    <w:rsid w:val="0A3923C3"/>
    <w:rsid w:val="0AC0764A"/>
    <w:rsid w:val="0B2842A1"/>
    <w:rsid w:val="0B8D7C54"/>
    <w:rsid w:val="0CBB2B73"/>
    <w:rsid w:val="0D076C90"/>
    <w:rsid w:val="0DAB4C81"/>
    <w:rsid w:val="0E076B5D"/>
    <w:rsid w:val="0FE2538D"/>
    <w:rsid w:val="10142BBC"/>
    <w:rsid w:val="12356195"/>
    <w:rsid w:val="125B5BE3"/>
    <w:rsid w:val="12F9547B"/>
    <w:rsid w:val="1493190E"/>
    <w:rsid w:val="14AC12D1"/>
    <w:rsid w:val="16452A24"/>
    <w:rsid w:val="185B1445"/>
    <w:rsid w:val="1984716F"/>
    <w:rsid w:val="198D529A"/>
    <w:rsid w:val="19C70536"/>
    <w:rsid w:val="1B5D243D"/>
    <w:rsid w:val="1B6A0F94"/>
    <w:rsid w:val="1CDE5004"/>
    <w:rsid w:val="1DAB36F3"/>
    <w:rsid w:val="1ECA1951"/>
    <w:rsid w:val="1FB70958"/>
    <w:rsid w:val="2038674A"/>
    <w:rsid w:val="20C32E6C"/>
    <w:rsid w:val="218A066C"/>
    <w:rsid w:val="21F848F5"/>
    <w:rsid w:val="22046109"/>
    <w:rsid w:val="228D6E34"/>
    <w:rsid w:val="22B648D5"/>
    <w:rsid w:val="231938E0"/>
    <w:rsid w:val="232B00B3"/>
    <w:rsid w:val="23BC39B8"/>
    <w:rsid w:val="266B07DC"/>
    <w:rsid w:val="26E15CAD"/>
    <w:rsid w:val="280E26AD"/>
    <w:rsid w:val="280F22AD"/>
    <w:rsid w:val="282B663C"/>
    <w:rsid w:val="28643D95"/>
    <w:rsid w:val="28AB0965"/>
    <w:rsid w:val="2A0A29C4"/>
    <w:rsid w:val="2AB228EF"/>
    <w:rsid w:val="2ADC47CA"/>
    <w:rsid w:val="2B6E1BC6"/>
    <w:rsid w:val="2BA542A7"/>
    <w:rsid w:val="2C7B0F68"/>
    <w:rsid w:val="2CA525B7"/>
    <w:rsid w:val="2E7F789F"/>
    <w:rsid w:val="2EDD1C45"/>
    <w:rsid w:val="2F083395"/>
    <w:rsid w:val="2F3552F3"/>
    <w:rsid w:val="2F6627BA"/>
    <w:rsid w:val="2F690180"/>
    <w:rsid w:val="3076067B"/>
    <w:rsid w:val="311523C6"/>
    <w:rsid w:val="31E85D99"/>
    <w:rsid w:val="33A6305C"/>
    <w:rsid w:val="34C4668A"/>
    <w:rsid w:val="362A1439"/>
    <w:rsid w:val="375715A4"/>
    <w:rsid w:val="379309D9"/>
    <w:rsid w:val="379377D6"/>
    <w:rsid w:val="384C5794"/>
    <w:rsid w:val="386069ED"/>
    <w:rsid w:val="392D0ECC"/>
    <w:rsid w:val="39386EBC"/>
    <w:rsid w:val="39587F14"/>
    <w:rsid w:val="396C6230"/>
    <w:rsid w:val="39933C2A"/>
    <w:rsid w:val="3B71385A"/>
    <w:rsid w:val="3C142203"/>
    <w:rsid w:val="3C6E6F62"/>
    <w:rsid w:val="3D1100E3"/>
    <w:rsid w:val="3D8E27C9"/>
    <w:rsid w:val="3D933332"/>
    <w:rsid w:val="3ECC02B1"/>
    <w:rsid w:val="3EE2666B"/>
    <w:rsid w:val="4006147A"/>
    <w:rsid w:val="4072617E"/>
    <w:rsid w:val="40D36DF4"/>
    <w:rsid w:val="414117DE"/>
    <w:rsid w:val="420D3DCB"/>
    <w:rsid w:val="42865CB0"/>
    <w:rsid w:val="42886C1D"/>
    <w:rsid w:val="43C27092"/>
    <w:rsid w:val="441B68E2"/>
    <w:rsid w:val="446820A4"/>
    <w:rsid w:val="44A40BCF"/>
    <w:rsid w:val="44C71816"/>
    <w:rsid w:val="452A4C76"/>
    <w:rsid w:val="46023421"/>
    <w:rsid w:val="466A5FAF"/>
    <w:rsid w:val="467E6468"/>
    <w:rsid w:val="46FB5D6E"/>
    <w:rsid w:val="472A015A"/>
    <w:rsid w:val="486867B0"/>
    <w:rsid w:val="489049E7"/>
    <w:rsid w:val="49275BB8"/>
    <w:rsid w:val="498F7A9F"/>
    <w:rsid w:val="4B0E0DA6"/>
    <w:rsid w:val="4BDA3A9B"/>
    <w:rsid w:val="4D19635E"/>
    <w:rsid w:val="50A42457"/>
    <w:rsid w:val="52531002"/>
    <w:rsid w:val="53022AA0"/>
    <w:rsid w:val="531E2390"/>
    <w:rsid w:val="53B72F3D"/>
    <w:rsid w:val="550A06CE"/>
    <w:rsid w:val="55AE0602"/>
    <w:rsid w:val="55B87EE8"/>
    <w:rsid w:val="55C90D7A"/>
    <w:rsid w:val="56631DBB"/>
    <w:rsid w:val="56754674"/>
    <w:rsid w:val="57052E6A"/>
    <w:rsid w:val="572318A5"/>
    <w:rsid w:val="57E05C12"/>
    <w:rsid w:val="57EC6B43"/>
    <w:rsid w:val="583D4B01"/>
    <w:rsid w:val="58735848"/>
    <w:rsid w:val="59E64B00"/>
    <w:rsid w:val="5A1257D5"/>
    <w:rsid w:val="5B307FD7"/>
    <w:rsid w:val="5B334B74"/>
    <w:rsid w:val="5BA301BB"/>
    <w:rsid w:val="5BE51B93"/>
    <w:rsid w:val="5CD15C4D"/>
    <w:rsid w:val="5D3929B3"/>
    <w:rsid w:val="5ED70F66"/>
    <w:rsid w:val="60A0566B"/>
    <w:rsid w:val="61E4061D"/>
    <w:rsid w:val="62164F07"/>
    <w:rsid w:val="62CC78F2"/>
    <w:rsid w:val="63045EC8"/>
    <w:rsid w:val="632253CE"/>
    <w:rsid w:val="63435CD9"/>
    <w:rsid w:val="63887AE7"/>
    <w:rsid w:val="63AF7EC9"/>
    <w:rsid w:val="64AA3A80"/>
    <w:rsid w:val="64D03BDD"/>
    <w:rsid w:val="65542974"/>
    <w:rsid w:val="65547EEA"/>
    <w:rsid w:val="66B44B31"/>
    <w:rsid w:val="68356507"/>
    <w:rsid w:val="6947458A"/>
    <w:rsid w:val="695A4DDC"/>
    <w:rsid w:val="6A623642"/>
    <w:rsid w:val="6B6E381B"/>
    <w:rsid w:val="6D922ACF"/>
    <w:rsid w:val="6DE63507"/>
    <w:rsid w:val="6F8F73F8"/>
    <w:rsid w:val="706E2249"/>
    <w:rsid w:val="70BF7D43"/>
    <w:rsid w:val="70CB2B57"/>
    <w:rsid w:val="70F21A50"/>
    <w:rsid w:val="7183371E"/>
    <w:rsid w:val="722573C4"/>
    <w:rsid w:val="724F6190"/>
    <w:rsid w:val="747A55BD"/>
    <w:rsid w:val="74C91AF5"/>
    <w:rsid w:val="777C069D"/>
    <w:rsid w:val="7989232A"/>
    <w:rsid w:val="7A05229A"/>
    <w:rsid w:val="7A4C182F"/>
    <w:rsid w:val="7AAB599C"/>
    <w:rsid w:val="7AB00ABE"/>
    <w:rsid w:val="7B16600C"/>
    <w:rsid w:val="7DB71BFF"/>
    <w:rsid w:val="7DDA7C5F"/>
    <w:rsid w:val="7E3C53AE"/>
    <w:rsid w:val="7EB35661"/>
    <w:rsid w:val="7F3F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4">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5">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6">
    <w:name w:val="heading 4"/>
    <w:basedOn w:val="1"/>
    <w:next w:val="1"/>
    <w:link w:val="26"/>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7">
    <w:name w:val="heading 5"/>
    <w:basedOn w:val="1"/>
    <w:next w:val="1"/>
    <w:link w:val="27"/>
    <w:semiHidden/>
    <w:unhideWhenUsed/>
    <w:qFormat/>
    <w:uiPriority w:val="9"/>
    <w:pPr>
      <w:keepNext/>
      <w:keepLines/>
      <w:spacing w:before="80" w:after="40"/>
      <w:outlineLvl w:val="4"/>
    </w:pPr>
    <w:rPr>
      <w:rFonts w:cstheme="majorBidi"/>
      <w:color w:val="2F5597" w:themeColor="accent1" w:themeShade="BF"/>
      <w:sz w:val="24"/>
    </w:rPr>
  </w:style>
  <w:style w:type="paragraph" w:styleId="8">
    <w:name w:val="heading 6"/>
    <w:basedOn w:val="1"/>
    <w:next w:val="1"/>
    <w:link w:val="28"/>
    <w:semiHidden/>
    <w:unhideWhenUsed/>
    <w:qFormat/>
    <w:uiPriority w:val="9"/>
    <w:pPr>
      <w:keepNext/>
      <w:keepLines/>
      <w:spacing w:before="40" w:after="0"/>
      <w:outlineLvl w:val="5"/>
    </w:pPr>
    <w:rPr>
      <w:rFonts w:cstheme="majorBidi"/>
      <w:b/>
      <w:bCs/>
      <w:color w:val="2F5597" w:themeColor="accent1" w:themeShade="BF"/>
    </w:rPr>
  </w:style>
  <w:style w:type="paragraph" w:styleId="9">
    <w:name w:val="heading 7"/>
    <w:basedOn w:val="1"/>
    <w:next w:val="1"/>
    <w:link w:val="29"/>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0"/>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1"/>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12">
    <w:name w:val="annotation text"/>
    <w:basedOn w:val="1"/>
    <w:link w:val="44"/>
    <w:semiHidden/>
    <w:unhideWhenUsed/>
    <w:qFormat/>
    <w:uiPriority w:val="99"/>
  </w:style>
  <w:style w:type="paragraph" w:styleId="13">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1"/>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2"/>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2"/>
    <w:next w:val="12"/>
    <w:link w:val="45"/>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20"/>
    <w:rPr>
      <w:i/>
    </w:rPr>
  </w:style>
  <w:style w:type="character" w:styleId="22">
    <w:name w:val="annotation reference"/>
    <w:basedOn w:val="20"/>
    <w:semiHidden/>
    <w:unhideWhenUsed/>
    <w:qFormat/>
    <w:uiPriority w:val="99"/>
    <w:rPr>
      <w:sz w:val="21"/>
      <w:szCs w:val="21"/>
    </w:rPr>
  </w:style>
  <w:style w:type="character" w:customStyle="1" w:styleId="23">
    <w:name w:val="标题 1 字符"/>
    <w:basedOn w:val="20"/>
    <w:link w:val="3"/>
    <w:qFormat/>
    <w:uiPriority w:val="9"/>
    <w:rPr>
      <w:rFonts w:asciiTheme="majorHAnsi" w:hAnsiTheme="majorHAnsi" w:eastAsiaTheme="majorEastAsia" w:cstheme="majorBidi"/>
      <w:color w:val="2F5597" w:themeColor="accent1" w:themeShade="BF"/>
      <w:sz w:val="48"/>
      <w:szCs w:val="48"/>
    </w:rPr>
  </w:style>
  <w:style w:type="character" w:customStyle="1" w:styleId="24">
    <w:name w:val="标题 2 字符"/>
    <w:basedOn w:val="20"/>
    <w:link w:val="4"/>
    <w:semiHidden/>
    <w:qFormat/>
    <w:uiPriority w:val="9"/>
    <w:rPr>
      <w:rFonts w:asciiTheme="majorHAnsi" w:hAnsiTheme="majorHAnsi" w:eastAsiaTheme="majorEastAsia" w:cstheme="majorBidi"/>
      <w:color w:val="2F5597" w:themeColor="accent1" w:themeShade="BF"/>
      <w:sz w:val="40"/>
      <w:szCs w:val="40"/>
    </w:rPr>
  </w:style>
  <w:style w:type="character" w:customStyle="1" w:styleId="25">
    <w:name w:val="标题 3 字符"/>
    <w:basedOn w:val="20"/>
    <w:link w:val="5"/>
    <w:semiHidden/>
    <w:qFormat/>
    <w:uiPriority w:val="9"/>
    <w:rPr>
      <w:rFonts w:asciiTheme="majorHAnsi" w:hAnsiTheme="majorHAnsi" w:eastAsiaTheme="majorEastAsia" w:cstheme="majorBidi"/>
      <w:color w:val="2F5597" w:themeColor="accent1" w:themeShade="BF"/>
      <w:sz w:val="32"/>
      <w:szCs w:val="32"/>
    </w:rPr>
  </w:style>
  <w:style w:type="character" w:customStyle="1" w:styleId="26">
    <w:name w:val="标题 4 字符"/>
    <w:basedOn w:val="20"/>
    <w:link w:val="6"/>
    <w:semiHidden/>
    <w:qFormat/>
    <w:uiPriority w:val="9"/>
    <w:rPr>
      <w:rFonts w:cstheme="majorBidi"/>
      <w:color w:val="2F5597" w:themeColor="accent1" w:themeShade="BF"/>
      <w:sz w:val="28"/>
      <w:szCs w:val="28"/>
    </w:rPr>
  </w:style>
  <w:style w:type="character" w:customStyle="1" w:styleId="27">
    <w:name w:val="标题 5 字符"/>
    <w:basedOn w:val="20"/>
    <w:link w:val="7"/>
    <w:semiHidden/>
    <w:qFormat/>
    <w:uiPriority w:val="9"/>
    <w:rPr>
      <w:rFonts w:cstheme="majorBidi"/>
      <w:color w:val="2F5597" w:themeColor="accent1" w:themeShade="BF"/>
      <w:sz w:val="24"/>
    </w:rPr>
  </w:style>
  <w:style w:type="character" w:customStyle="1" w:styleId="28">
    <w:name w:val="标题 6 字符"/>
    <w:basedOn w:val="20"/>
    <w:link w:val="8"/>
    <w:semiHidden/>
    <w:qFormat/>
    <w:uiPriority w:val="9"/>
    <w:rPr>
      <w:rFonts w:cstheme="majorBidi"/>
      <w:b/>
      <w:bCs/>
      <w:color w:val="2F5597" w:themeColor="accent1" w:themeShade="BF"/>
    </w:rPr>
  </w:style>
  <w:style w:type="character" w:customStyle="1" w:styleId="29">
    <w:name w:val="标题 7 字符"/>
    <w:basedOn w:val="20"/>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0"/>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0"/>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0"/>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明显引用 字符"/>
    <w:basedOn w:val="20"/>
    <w:link w:val="38"/>
    <w:qFormat/>
    <w:uiPriority w:val="30"/>
    <w:rPr>
      <w:i/>
      <w:iCs/>
      <w:color w:val="2F5597" w:themeColor="accent1" w:themeShade="BF"/>
    </w:rPr>
  </w:style>
  <w:style w:type="character" w:customStyle="1" w:styleId="40">
    <w:name w:val="明显参考1"/>
    <w:basedOn w:val="20"/>
    <w:qFormat/>
    <w:uiPriority w:val="32"/>
    <w:rPr>
      <w:b/>
      <w:bCs/>
      <w:smallCaps/>
      <w:color w:val="2F5597" w:themeColor="accent1" w:themeShade="BF"/>
      <w:spacing w:val="5"/>
    </w:rPr>
  </w:style>
  <w:style w:type="character" w:customStyle="1" w:styleId="41">
    <w:name w:val="页眉 字符"/>
    <w:basedOn w:val="20"/>
    <w:link w:val="14"/>
    <w:qFormat/>
    <w:uiPriority w:val="99"/>
    <w:rPr>
      <w:sz w:val="18"/>
      <w:szCs w:val="18"/>
    </w:rPr>
  </w:style>
  <w:style w:type="character" w:customStyle="1" w:styleId="42">
    <w:name w:val="页脚 字符"/>
    <w:basedOn w:val="20"/>
    <w:link w:val="13"/>
    <w:qFormat/>
    <w:uiPriority w:val="99"/>
    <w:rPr>
      <w:sz w:val="18"/>
      <w:szCs w:val="18"/>
    </w:rPr>
  </w:style>
  <w:style w:type="paragraph" w:customStyle="1" w:styleId="43">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4">
    <w:name w:val="批注文字 字符"/>
    <w:basedOn w:val="20"/>
    <w:link w:val="12"/>
    <w:semiHidden/>
    <w:qFormat/>
    <w:uiPriority w:val="99"/>
    <w:rPr>
      <w:rFonts w:asciiTheme="minorHAnsi" w:hAnsiTheme="minorHAnsi" w:eastAsiaTheme="minorEastAsia" w:cstheme="minorBidi"/>
      <w:kern w:val="2"/>
      <w:sz w:val="22"/>
      <w:szCs w:val="24"/>
      <w14:ligatures w14:val="standardContextual"/>
    </w:rPr>
  </w:style>
  <w:style w:type="character" w:customStyle="1" w:styleId="45">
    <w:name w:val="批注主题 字符"/>
    <w:basedOn w:val="44"/>
    <w:link w:val="17"/>
    <w:semiHidden/>
    <w:qFormat/>
    <w:uiPriority w:val="99"/>
    <w:rPr>
      <w:rFonts w:asciiTheme="minorHAnsi" w:hAnsiTheme="minorHAnsi" w:eastAsiaTheme="minorEastAsia" w:cstheme="minorBidi"/>
      <w:b/>
      <w:bCs/>
      <w:kern w:val="2"/>
      <w:sz w:val="22"/>
      <w:szCs w:val="24"/>
      <w14:ligatures w14:val="standardContextual"/>
    </w:rPr>
  </w:style>
  <w:style w:type="paragraph" w:customStyle="1" w:styleId="46">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2225</Words>
  <Characters>2248</Characters>
  <Lines>149</Lines>
  <Paragraphs>106</Paragraphs>
  <TotalTime>0</TotalTime>
  <ScaleCrop>false</ScaleCrop>
  <LinksUpToDate>false</LinksUpToDate>
  <CharactersWithSpaces>4367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2025-05-21T07:07:00Z</dcterms:created>
  <dc:creator>勤 张</dc:creator>
  <cp:lastModifiedBy>王青 D</cp:lastModifiedBy>
  <cp:lastPrinted>2025-05-30T09:38:00Z</cp:lastPrinted>
  <dcterms:modified xsi:type="dcterms:W3CDTF">2025-08-27T01:54:50Z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