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rPr>
      </w:pPr>
      <w:r>
        <w:rPr>
          <w:rFonts w:hint="eastAsia" w:ascii="仿宋_GB2312" w:eastAsia="仿宋_GB2312"/>
          <w:sz w:val="32"/>
        </w:rPr>
        <w:t>一、项目名称</w:t>
      </w:r>
    </w:p>
    <w:p>
      <w:pPr>
        <w:rPr>
          <w:rFonts w:ascii="仿宋_GB2312" w:eastAsia="仿宋_GB2312"/>
          <w:sz w:val="32"/>
        </w:rPr>
      </w:pPr>
      <w:r>
        <w:rPr>
          <w:rFonts w:hint="eastAsia" w:ascii="仿宋_GB2312" w:eastAsia="仿宋_GB2312"/>
          <w:sz w:val="32"/>
        </w:rPr>
        <w:t>小檗碱通过抗氧化应激改善2型糖尿病及微血管并发症</w:t>
      </w:r>
    </w:p>
    <w:p>
      <w:pPr>
        <w:rPr>
          <w:rFonts w:ascii="仿宋_GB2312" w:eastAsia="仿宋_GB2312"/>
          <w:sz w:val="32"/>
        </w:rPr>
      </w:pPr>
      <w:r>
        <w:rPr>
          <w:rFonts w:hint="eastAsia" w:ascii="仿宋_GB2312" w:eastAsia="仿宋_GB2312"/>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1134"/>
        <w:gridCol w:w="1134"/>
        <w:gridCol w:w="1275"/>
        <w:gridCol w:w="1442"/>
        <w:gridCol w:w="1218"/>
        <w:gridCol w:w="17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姓名</w:t>
            </w:r>
          </w:p>
        </w:tc>
        <w:tc>
          <w:tcPr>
            <w:tcW w:w="1134" w:type="dxa"/>
          </w:tcPr>
          <w:p>
            <w:pPr>
              <w:jc w:val="center"/>
              <w:rPr>
                <w:rFonts w:ascii="仿宋_GB2312" w:eastAsia="仿宋_GB2312"/>
                <w:szCs w:val="21"/>
              </w:rPr>
            </w:pPr>
            <w:r>
              <w:rPr>
                <w:rFonts w:hint="eastAsia" w:ascii="仿宋_GB2312" w:eastAsia="仿宋_GB2312"/>
                <w:szCs w:val="21"/>
              </w:rPr>
              <w:t>排名</w:t>
            </w:r>
          </w:p>
        </w:tc>
        <w:tc>
          <w:tcPr>
            <w:tcW w:w="1134" w:type="dxa"/>
          </w:tcPr>
          <w:p>
            <w:pPr>
              <w:jc w:val="center"/>
              <w:rPr>
                <w:rFonts w:ascii="仿宋_GB2312" w:eastAsia="仿宋_GB2312"/>
                <w:szCs w:val="21"/>
              </w:rPr>
            </w:pPr>
            <w:r>
              <w:rPr>
                <w:rFonts w:hint="eastAsia" w:ascii="仿宋_GB2312" w:eastAsia="仿宋_GB2312"/>
                <w:szCs w:val="21"/>
              </w:rPr>
              <w:t>行政职务</w:t>
            </w:r>
          </w:p>
        </w:tc>
        <w:tc>
          <w:tcPr>
            <w:tcW w:w="1275" w:type="dxa"/>
          </w:tcPr>
          <w:p>
            <w:pPr>
              <w:jc w:val="center"/>
              <w:rPr>
                <w:rFonts w:ascii="仿宋_GB2312" w:eastAsia="仿宋_GB2312"/>
                <w:szCs w:val="21"/>
              </w:rPr>
            </w:pPr>
            <w:r>
              <w:rPr>
                <w:rFonts w:hint="eastAsia" w:ascii="仿宋_GB2312" w:eastAsia="仿宋_GB2312"/>
                <w:szCs w:val="21"/>
              </w:rPr>
              <w:t>技术职称</w:t>
            </w:r>
          </w:p>
        </w:tc>
        <w:tc>
          <w:tcPr>
            <w:tcW w:w="1442" w:type="dxa"/>
          </w:tcPr>
          <w:p>
            <w:pPr>
              <w:jc w:val="center"/>
              <w:rPr>
                <w:rFonts w:ascii="仿宋_GB2312" w:eastAsia="仿宋_GB2312"/>
                <w:szCs w:val="21"/>
              </w:rPr>
            </w:pPr>
            <w:r>
              <w:rPr>
                <w:rFonts w:hint="eastAsia" w:ascii="仿宋_GB2312" w:eastAsia="仿宋_GB2312"/>
                <w:szCs w:val="21"/>
              </w:rPr>
              <w:t>工作单位</w:t>
            </w:r>
          </w:p>
        </w:tc>
        <w:tc>
          <w:tcPr>
            <w:tcW w:w="1218" w:type="dxa"/>
          </w:tcPr>
          <w:p>
            <w:pPr>
              <w:jc w:val="center"/>
              <w:rPr>
                <w:rFonts w:ascii="仿宋_GB2312" w:eastAsia="仿宋_GB2312"/>
                <w:szCs w:val="21"/>
              </w:rPr>
            </w:pPr>
            <w:r>
              <w:rPr>
                <w:rFonts w:hint="eastAsia" w:ascii="仿宋_GB2312" w:eastAsia="仿宋_GB2312"/>
                <w:szCs w:val="21"/>
              </w:rPr>
              <w:t>完成单位</w:t>
            </w:r>
          </w:p>
        </w:tc>
        <w:tc>
          <w:tcPr>
            <w:tcW w:w="1735" w:type="dxa"/>
          </w:tcPr>
          <w:p>
            <w:pPr>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_GB2312" w:eastAsia="仿宋_GB2312"/>
                <w:szCs w:val="21"/>
              </w:rPr>
            </w:pPr>
            <w:r>
              <w:rPr>
                <w:rFonts w:hint="eastAsia" w:ascii="仿宋_GB2312" w:eastAsia="仿宋_GB2312"/>
                <w:szCs w:val="21"/>
              </w:rPr>
              <w:t>李晓苗</w:t>
            </w:r>
          </w:p>
        </w:tc>
        <w:tc>
          <w:tcPr>
            <w:tcW w:w="1134" w:type="dxa"/>
            <w:vAlign w:val="center"/>
          </w:tcPr>
          <w:p>
            <w:pPr>
              <w:jc w:val="center"/>
              <w:rPr>
                <w:rFonts w:ascii="仿宋_GB2312" w:eastAsia="仿宋_GB2312"/>
                <w:szCs w:val="21"/>
              </w:rPr>
            </w:pPr>
            <w:r>
              <w:rPr>
                <w:rFonts w:hint="eastAsia" w:ascii="仿宋_GB2312" w:eastAsia="仿宋_GB2312"/>
                <w:szCs w:val="21"/>
              </w:rPr>
              <w:t>1</w:t>
            </w:r>
          </w:p>
        </w:tc>
        <w:tc>
          <w:tcPr>
            <w:tcW w:w="1134" w:type="dxa"/>
            <w:vAlign w:val="center"/>
          </w:tcPr>
          <w:p>
            <w:pPr>
              <w:jc w:val="center"/>
              <w:rPr>
                <w:rFonts w:ascii="仿宋_GB2312" w:eastAsia="仿宋_GB2312"/>
                <w:szCs w:val="21"/>
              </w:rPr>
            </w:pPr>
            <w:r>
              <w:rPr>
                <w:rFonts w:hint="eastAsia" w:ascii="仿宋_GB2312" w:eastAsia="仿宋_GB2312"/>
                <w:szCs w:val="21"/>
              </w:rPr>
              <w:t>科室主任</w:t>
            </w:r>
          </w:p>
        </w:tc>
        <w:tc>
          <w:tcPr>
            <w:tcW w:w="1275" w:type="dxa"/>
            <w:vAlign w:val="center"/>
          </w:tcPr>
          <w:p>
            <w:pPr>
              <w:jc w:val="center"/>
              <w:rPr>
                <w:rFonts w:ascii="仿宋_GB2312" w:eastAsia="仿宋_GB2312"/>
                <w:szCs w:val="21"/>
              </w:rPr>
            </w:pPr>
            <w:r>
              <w:rPr>
                <w:rFonts w:hint="eastAsia" w:ascii="仿宋_GB2312" w:eastAsia="仿宋_GB2312"/>
                <w:szCs w:val="21"/>
              </w:rPr>
              <w:t>主任医师</w:t>
            </w:r>
          </w:p>
        </w:tc>
        <w:tc>
          <w:tcPr>
            <w:tcW w:w="1442" w:type="dxa"/>
            <w:vAlign w:val="center"/>
          </w:tcPr>
          <w:p>
            <w:pPr>
              <w:jc w:val="center"/>
              <w:rPr>
                <w:rFonts w:ascii="仿宋_GB2312" w:eastAsia="仿宋_GB2312"/>
                <w:szCs w:val="21"/>
              </w:rPr>
            </w:pPr>
            <w:r>
              <w:rPr>
                <w:rFonts w:hint="eastAsia" w:ascii="仿宋_GB2312" w:eastAsia="仿宋_GB2312"/>
                <w:szCs w:val="21"/>
              </w:rPr>
              <w:t>空军军医大学第一附属医院</w:t>
            </w:r>
          </w:p>
        </w:tc>
        <w:tc>
          <w:tcPr>
            <w:tcW w:w="1218" w:type="dxa"/>
            <w:vAlign w:val="center"/>
          </w:tcPr>
          <w:p>
            <w:pPr>
              <w:jc w:val="center"/>
              <w:rPr>
                <w:rFonts w:ascii="仿宋_GB2312" w:eastAsia="仿宋_GB2312"/>
                <w:szCs w:val="21"/>
              </w:rPr>
            </w:pPr>
            <w:r>
              <w:rPr>
                <w:rFonts w:hint="eastAsia" w:ascii="仿宋_GB2312" w:eastAsia="仿宋_GB2312"/>
                <w:szCs w:val="21"/>
              </w:rPr>
              <w:t>空军军医大学</w:t>
            </w:r>
          </w:p>
        </w:tc>
        <w:tc>
          <w:tcPr>
            <w:tcW w:w="1735" w:type="dxa"/>
            <w:vAlign w:val="center"/>
          </w:tcPr>
          <w:p>
            <w:pPr>
              <w:jc w:val="center"/>
              <w:rPr>
                <w:rFonts w:ascii="仿宋_GB2312" w:eastAsia="仿宋_GB2312"/>
                <w:szCs w:val="21"/>
              </w:rPr>
            </w:pPr>
            <w:r>
              <w:rPr>
                <w:rFonts w:hint="eastAsia" w:ascii="仿宋_GB2312" w:eastAsia="仿宋_GB2312"/>
                <w:szCs w:val="21"/>
              </w:rPr>
              <w:t>本项目主要负责人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_GB2312" w:eastAsia="仿宋_GB2312"/>
                <w:szCs w:val="21"/>
              </w:rPr>
            </w:pPr>
            <w:r>
              <w:rPr>
                <w:rFonts w:hint="eastAsia" w:ascii="仿宋_GB2312" w:eastAsia="仿宋_GB2312"/>
                <w:szCs w:val="21"/>
              </w:rPr>
              <w:t>翟佳佳</w:t>
            </w:r>
          </w:p>
        </w:tc>
        <w:tc>
          <w:tcPr>
            <w:tcW w:w="1134" w:type="dxa"/>
            <w:vAlign w:val="center"/>
          </w:tcPr>
          <w:p>
            <w:pPr>
              <w:jc w:val="center"/>
              <w:rPr>
                <w:rFonts w:ascii="仿宋_GB2312" w:eastAsia="仿宋_GB2312"/>
                <w:szCs w:val="21"/>
              </w:rPr>
            </w:pPr>
            <w:r>
              <w:rPr>
                <w:rFonts w:hint="eastAsia" w:ascii="仿宋_GB2312" w:eastAsia="仿宋_GB2312"/>
                <w:szCs w:val="21"/>
              </w:rPr>
              <w:t>2</w:t>
            </w:r>
          </w:p>
        </w:tc>
        <w:tc>
          <w:tcPr>
            <w:tcW w:w="1134" w:type="dxa"/>
            <w:vAlign w:val="center"/>
          </w:tcPr>
          <w:p>
            <w:pPr>
              <w:jc w:val="center"/>
              <w:rPr>
                <w:rFonts w:ascii="仿宋_GB2312" w:eastAsia="仿宋_GB2312"/>
                <w:szCs w:val="21"/>
              </w:rPr>
            </w:pPr>
          </w:p>
        </w:tc>
        <w:tc>
          <w:tcPr>
            <w:tcW w:w="1275" w:type="dxa"/>
            <w:vAlign w:val="center"/>
          </w:tcPr>
          <w:p>
            <w:pPr>
              <w:jc w:val="center"/>
              <w:rPr>
                <w:rFonts w:ascii="仿宋_GB2312" w:eastAsia="仿宋_GB2312"/>
                <w:szCs w:val="21"/>
              </w:rPr>
            </w:pPr>
            <w:r>
              <w:rPr>
                <w:rFonts w:hint="eastAsia" w:ascii="仿宋_GB2312" w:eastAsia="仿宋_GB2312"/>
                <w:szCs w:val="21"/>
              </w:rPr>
              <w:t>主治医师</w:t>
            </w:r>
          </w:p>
        </w:tc>
        <w:tc>
          <w:tcPr>
            <w:tcW w:w="1442" w:type="dxa"/>
            <w:vAlign w:val="center"/>
          </w:tcPr>
          <w:p>
            <w:pPr>
              <w:jc w:val="center"/>
              <w:rPr>
                <w:rFonts w:ascii="仿宋_GB2312" w:eastAsia="仿宋_GB2312"/>
                <w:szCs w:val="21"/>
              </w:rPr>
            </w:pPr>
            <w:r>
              <w:rPr>
                <w:rFonts w:hint="eastAsia" w:ascii="仿宋_GB2312" w:eastAsia="仿宋_GB2312"/>
                <w:szCs w:val="21"/>
              </w:rPr>
              <w:t>西安市第九医院</w:t>
            </w:r>
          </w:p>
        </w:tc>
        <w:tc>
          <w:tcPr>
            <w:tcW w:w="1218" w:type="dxa"/>
            <w:vAlign w:val="center"/>
          </w:tcPr>
          <w:p>
            <w:pPr>
              <w:jc w:val="center"/>
              <w:rPr>
                <w:rFonts w:ascii="仿宋_GB2312" w:eastAsia="仿宋_GB2312"/>
                <w:szCs w:val="21"/>
              </w:rPr>
            </w:pPr>
            <w:r>
              <w:rPr>
                <w:rFonts w:hint="eastAsia" w:ascii="仿宋_GB2312" w:eastAsia="仿宋_GB2312"/>
                <w:szCs w:val="21"/>
              </w:rPr>
              <w:t>空军军医大学</w:t>
            </w:r>
          </w:p>
        </w:tc>
        <w:tc>
          <w:tcPr>
            <w:tcW w:w="1735" w:type="dxa"/>
            <w:vAlign w:val="center"/>
          </w:tcPr>
          <w:p>
            <w:pPr>
              <w:jc w:val="center"/>
              <w:rPr>
                <w:rFonts w:ascii="仿宋_GB2312" w:eastAsia="仿宋_GB2312"/>
                <w:szCs w:val="21"/>
              </w:rPr>
            </w:pPr>
            <w:r>
              <w:rPr>
                <w:rFonts w:hint="eastAsia" w:ascii="仿宋_GB2312" w:eastAsia="仿宋_GB2312"/>
                <w:szCs w:val="21"/>
              </w:rPr>
              <w:t>负责项目实施及研究成果发表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_GB2312" w:eastAsia="仿宋_GB2312"/>
                <w:szCs w:val="21"/>
              </w:rPr>
            </w:pPr>
            <w:r>
              <w:rPr>
                <w:rFonts w:hint="eastAsia" w:ascii="仿宋_GB2312" w:eastAsia="仿宋_GB2312"/>
                <w:szCs w:val="21"/>
              </w:rPr>
              <w:t>张辉锋</w:t>
            </w:r>
          </w:p>
        </w:tc>
        <w:tc>
          <w:tcPr>
            <w:tcW w:w="1134" w:type="dxa"/>
            <w:vAlign w:val="center"/>
          </w:tcPr>
          <w:p>
            <w:pPr>
              <w:jc w:val="center"/>
              <w:rPr>
                <w:rFonts w:ascii="仿宋_GB2312" w:eastAsia="仿宋_GB2312"/>
                <w:szCs w:val="21"/>
              </w:rPr>
            </w:pPr>
            <w:r>
              <w:rPr>
                <w:rFonts w:ascii="仿宋_GB2312" w:eastAsia="仿宋_GB2312"/>
                <w:szCs w:val="21"/>
              </w:rPr>
              <w:t>3</w:t>
            </w:r>
          </w:p>
        </w:tc>
        <w:tc>
          <w:tcPr>
            <w:tcW w:w="1134" w:type="dxa"/>
            <w:vAlign w:val="center"/>
          </w:tcPr>
          <w:p>
            <w:pPr>
              <w:jc w:val="center"/>
              <w:rPr>
                <w:rFonts w:ascii="仿宋_GB2312" w:eastAsia="仿宋_GB2312"/>
                <w:szCs w:val="21"/>
                <w:highlight w:val="yellow"/>
              </w:rPr>
            </w:pPr>
          </w:p>
        </w:tc>
        <w:tc>
          <w:tcPr>
            <w:tcW w:w="1275" w:type="dxa"/>
            <w:vAlign w:val="center"/>
          </w:tcPr>
          <w:p>
            <w:pPr>
              <w:jc w:val="center"/>
              <w:rPr>
                <w:rFonts w:ascii="仿宋_GB2312" w:eastAsia="仿宋_GB2312"/>
                <w:szCs w:val="21"/>
              </w:rPr>
            </w:pPr>
            <w:r>
              <w:rPr>
                <w:rFonts w:hint="eastAsia" w:ascii="仿宋_GB2312" w:eastAsia="仿宋_GB2312"/>
                <w:szCs w:val="21"/>
              </w:rPr>
              <w:t>副主任医师</w:t>
            </w:r>
          </w:p>
        </w:tc>
        <w:tc>
          <w:tcPr>
            <w:tcW w:w="1442" w:type="dxa"/>
            <w:vAlign w:val="center"/>
          </w:tcPr>
          <w:p>
            <w:pPr>
              <w:jc w:val="center"/>
              <w:rPr>
                <w:rFonts w:ascii="仿宋_GB2312" w:eastAsia="仿宋_GB2312"/>
                <w:szCs w:val="21"/>
              </w:rPr>
            </w:pPr>
            <w:r>
              <w:rPr>
                <w:rFonts w:hint="eastAsia" w:ascii="仿宋_GB2312" w:eastAsia="仿宋_GB2312"/>
                <w:szCs w:val="21"/>
              </w:rPr>
              <w:t>西安市电力中心医院</w:t>
            </w:r>
          </w:p>
        </w:tc>
        <w:tc>
          <w:tcPr>
            <w:tcW w:w="1218" w:type="dxa"/>
            <w:vAlign w:val="center"/>
          </w:tcPr>
          <w:p>
            <w:pPr>
              <w:jc w:val="center"/>
              <w:rPr>
                <w:rFonts w:ascii="仿宋_GB2312" w:eastAsia="仿宋_GB2312"/>
                <w:szCs w:val="21"/>
              </w:rPr>
            </w:pPr>
            <w:r>
              <w:rPr>
                <w:rFonts w:hint="eastAsia" w:ascii="仿宋_GB2312" w:eastAsia="仿宋_GB2312"/>
                <w:szCs w:val="21"/>
              </w:rPr>
              <w:t>空军军医大学</w:t>
            </w:r>
          </w:p>
        </w:tc>
        <w:tc>
          <w:tcPr>
            <w:tcW w:w="1735" w:type="dxa"/>
            <w:vAlign w:val="center"/>
          </w:tcPr>
          <w:p>
            <w:pPr>
              <w:jc w:val="center"/>
              <w:rPr>
                <w:rFonts w:ascii="仿宋_GB2312" w:eastAsia="仿宋_GB2312"/>
                <w:szCs w:val="21"/>
              </w:rPr>
            </w:pPr>
            <w:r>
              <w:rPr>
                <w:rFonts w:hint="eastAsia" w:ascii="仿宋_GB2312" w:eastAsia="仿宋_GB2312"/>
                <w:szCs w:val="21"/>
              </w:rPr>
              <w:t>协助项目实施及研究成果发表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_GB2312" w:eastAsia="仿宋_GB2312"/>
                <w:szCs w:val="21"/>
              </w:rPr>
            </w:pPr>
            <w:r>
              <w:rPr>
                <w:rFonts w:hint="eastAsia" w:ascii="仿宋_GB2312" w:eastAsia="仿宋_GB2312"/>
                <w:szCs w:val="21"/>
              </w:rPr>
              <w:t>马楼艳</w:t>
            </w:r>
          </w:p>
        </w:tc>
        <w:tc>
          <w:tcPr>
            <w:tcW w:w="1134" w:type="dxa"/>
            <w:vAlign w:val="center"/>
          </w:tcPr>
          <w:p>
            <w:pPr>
              <w:jc w:val="center"/>
              <w:rPr>
                <w:rFonts w:ascii="仿宋_GB2312" w:eastAsia="仿宋_GB2312"/>
                <w:szCs w:val="21"/>
              </w:rPr>
            </w:pPr>
            <w:r>
              <w:rPr>
                <w:rFonts w:ascii="仿宋_GB2312" w:eastAsia="仿宋_GB2312"/>
                <w:szCs w:val="21"/>
              </w:rPr>
              <w:t>4</w:t>
            </w:r>
          </w:p>
        </w:tc>
        <w:tc>
          <w:tcPr>
            <w:tcW w:w="1134" w:type="dxa"/>
            <w:vAlign w:val="center"/>
          </w:tcPr>
          <w:p>
            <w:pPr>
              <w:jc w:val="center"/>
              <w:rPr>
                <w:rFonts w:ascii="仿宋_GB2312" w:eastAsia="仿宋_GB2312"/>
                <w:szCs w:val="21"/>
                <w:highlight w:val="yellow"/>
              </w:rPr>
            </w:pPr>
          </w:p>
        </w:tc>
        <w:tc>
          <w:tcPr>
            <w:tcW w:w="1275" w:type="dxa"/>
            <w:vAlign w:val="center"/>
          </w:tcPr>
          <w:p>
            <w:pPr>
              <w:jc w:val="center"/>
              <w:rPr>
                <w:rFonts w:ascii="仿宋_GB2312" w:eastAsia="仿宋_GB2312"/>
                <w:szCs w:val="21"/>
              </w:rPr>
            </w:pPr>
            <w:r>
              <w:rPr>
                <w:rFonts w:hint="eastAsia" w:ascii="仿宋_GB2312" w:eastAsia="仿宋_GB2312"/>
                <w:szCs w:val="21"/>
              </w:rPr>
              <w:t>副主任医师</w:t>
            </w:r>
          </w:p>
        </w:tc>
        <w:tc>
          <w:tcPr>
            <w:tcW w:w="1442" w:type="dxa"/>
            <w:vAlign w:val="center"/>
          </w:tcPr>
          <w:p>
            <w:pPr>
              <w:jc w:val="center"/>
              <w:rPr>
                <w:rFonts w:ascii="仿宋_GB2312" w:eastAsia="仿宋_GB2312"/>
                <w:szCs w:val="21"/>
              </w:rPr>
            </w:pPr>
            <w:r>
              <w:rPr>
                <w:rFonts w:hint="eastAsia" w:ascii="仿宋_GB2312" w:eastAsia="仿宋_GB2312"/>
                <w:szCs w:val="21"/>
              </w:rPr>
              <w:t>西安市第九医院</w:t>
            </w:r>
          </w:p>
        </w:tc>
        <w:tc>
          <w:tcPr>
            <w:tcW w:w="1218" w:type="dxa"/>
            <w:vAlign w:val="center"/>
          </w:tcPr>
          <w:p>
            <w:pPr>
              <w:jc w:val="center"/>
              <w:rPr>
                <w:rFonts w:ascii="仿宋_GB2312" w:eastAsia="仿宋_GB2312"/>
                <w:szCs w:val="21"/>
              </w:rPr>
            </w:pPr>
            <w:r>
              <w:rPr>
                <w:rFonts w:hint="eastAsia" w:ascii="仿宋_GB2312" w:eastAsia="仿宋_GB2312"/>
                <w:szCs w:val="21"/>
              </w:rPr>
              <w:t>空军军医大学</w:t>
            </w:r>
          </w:p>
        </w:tc>
        <w:tc>
          <w:tcPr>
            <w:tcW w:w="1735" w:type="dxa"/>
            <w:vAlign w:val="center"/>
          </w:tcPr>
          <w:p>
            <w:pPr>
              <w:jc w:val="center"/>
              <w:rPr>
                <w:rFonts w:ascii="仿宋_GB2312" w:eastAsia="仿宋_GB2312"/>
                <w:szCs w:val="21"/>
              </w:rPr>
            </w:pPr>
            <w:r>
              <w:rPr>
                <w:rFonts w:hint="eastAsia" w:ascii="仿宋_GB2312" w:eastAsia="仿宋_GB2312"/>
                <w:szCs w:val="21"/>
              </w:rPr>
              <w:t>协助项目实施及研究成果发表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jc w:val="center"/>
              <w:rPr>
                <w:rFonts w:ascii="仿宋_GB2312" w:eastAsia="仿宋_GB2312"/>
                <w:szCs w:val="21"/>
              </w:rPr>
            </w:pPr>
            <w:r>
              <w:rPr>
                <w:rFonts w:hint="eastAsia" w:ascii="仿宋_GB2312" w:eastAsia="仿宋_GB2312"/>
                <w:szCs w:val="21"/>
              </w:rPr>
              <w:t>张艺</w:t>
            </w:r>
          </w:p>
        </w:tc>
        <w:tc>
          <w:tcPr>
            <w:tcW w:w="1134" w:type="dxa"/>
            <w:vAlign w:val="center"/>
          </w:tcPr>
          <w:p>
            <w:pPr>
              <w:jc w:val="center"/>
              <w:rPr>
                <w:rFonts w:ascii="仿宋_GB2312" w:eastAsia="仿宋_GB2312"/>
                <w:szCs w:val="21"/>
              </w:rPr>
            </w:pPr>
            <w:r>
              <w:rPr>
                <w:rFonts w:ascii="仿宋_GB2312" w:eastAsia="仿宋_GB2312"/>
                <w:szCs w:val="21"/>
              </w:rPr>
              <w:t>5</w:t>
            </w:r>
          </w:p>
        </w:tc>
        <w:tc>
          <w:tcPr>
            <w:tcW w:w="1134" w:type="dxa"/>
            <w:vAlign w:val="center"/>
          </w:tcPr>
          <w:p>
            <w:pPr>
              <w:jc w:val="center"/>
              <w:rPr>
                <w:rFonts w:ascii="仿宋_GB2312" w:eastAsia="仿宋_GB2312"/>
                <w:szCs w:val="21"/>
                <w:highlight w:val="yellow"/>
              </w:rPr>
            </w:pPr>
          </w:p>
        </w:tc>
        <w:tc>
          <w:tcPr>
            <w:tcW w:w="1275" w:type="dxa"/>
            <w:vAlign w:val="center"/>
          </w:tcPr>
          <w:p>
            <w:pPr>
              <w:jc w:val="center"/>
              <w:rPr>
                <w:rFonts w:ascii="仿宋_GB2312" w:eastAsia="仿宋_GB2312"/>
                <w:szCs w:val="21"/>
              </w:rPr>
            </w:pPr>
            <w:r>
              <w:rPr>
                <w:rFonts w:hint="eastAsia" w:ascii="仿宋_GB2312" w:eastAsia="仿宋_GB2312"/>
                <w:szCs w:val="21"/>
              </w:rPr>
              <w:t>副主任医师</w:t>
            </w:r>
          </w:p>
        </w:tc>
        <w:tc>
          <w:tcPr>
            <w:tcW w:w="1442" w:type="dxa"/>
            <w:vAlign w:val="center"/>
          </w:tcPr>
          <w:p>
            <w:pPr>
              <w:jc w:val="center"/>
              <w:rPr>
                <w:rFonts w:ascii="仿宋_GB2312" w:eastAsia="仿宋_GB2312"/>
                <w:szCs w:val="21"/>
              </w:rPr>
            </w:pPr>
            <w:r>
              <w:rPr>
                <w:rFonts w:hint="eastAsia" w:ascii="仿宋_GB2312" w:eastAsia="仿宋_GB2312"/>
                <w:szCs w:val="21"/>
              </w:rPr>
              <w:t>西安市第九医院</w:t>
            </w:r>
          </w:p>
        </w:tc>
        <w:tc>
          <w:tcPr>
            <w:tcW w:w="1218" w:type="dxa"/>
            <w:vAlign w:val="center"/>
          </w:tcPr>
          <w:p>
            <w:pPr>
              <w:jc w:val="center"/>
              <w:rPr>
                <w:rFonts w:ascii="仿宋_GB2312" w:eastAsia="仿宋_GB2312"/>
                <w:szCs w:val="21"/>
              </w:rPr>
            </w:pPr>
            <w:r>
              <w:rPr>
                <w:rFonts w:hint="eastAsia" w:ascii="仿宋_GB2312" w:eastAsia="仿宋_GB2312"/>
                <w:szCs w:val="21"/>
              </w:rPr>
              <w:t>空军军医大学</w:t>
            </w:r>
          </w:p>
        </w:tc>
        <w:tc>
          <w:tcPr>
            <w:tcW w:w="1735" w:type="dxa"/>
            <w:vAlign w:val="center"/>
          </w:tcPr>
          <w:p>
            <w:pPr>
              <w:jc w:val="center"/>
              <w:rPr>
                <w:rFonts w:ascii="仿宋_GB2312" w:eastAsia="仿宋_GB2312"/>
                <w:szCs w:val="21"/>
              </w:rPr>
            </w:pPr>
            <w:r>
              <w:rPr>
                <w:rFonts w:hint="eastAsia" w:ascii="仿宋_GB2312" w:eastAsia="仿宋_GB2312"/>
                <w:szCs w:val="21"/>
              </w:rPr>
              <w:t>协助项目实施及研究成果发表</w:t>
            </w:r>
          </w:p>
        </w:tc>
      </w:tr>
    </w:tbl>
    <w:p>
      <w:pPr>
        <w:spacing w:before="156" w:beforeLines="50" w:line="340" w:lineRule="exact"/>
        <w:rPr>
          <w:rFonts w:ascii="仿宋_GB2312" w:eastAsia="仿宋_GB2312"/>
          <w:sz w:val="32"/>
        </w:rPr>
      </w:pPr>
      <w:r>
        <w:rPr>
          <w:rFonts w:hint="eastAsia" w:ascii="仿宋_GB2312" w:eastAsia="仿宋_GB2312"/>
          <w:sz w:val="32"/>
        </w:rPr>
        <w:t>三、主要完成单位及创新推广贡献</w:t>
      </w:r>
    </w:p>
    <w:p>
      <w:pPr>
        <w:spacing w:before="156" w:beforeLines="50" w:line="340" w:lineRule="exact"/>
        <w:rPr>
          <w:rFonts w:ascii="仿宋_GB2312" w:eastAsia="仿宋_GB2312"/>
          <w:sz w:val="32"/>
        </w:rPr>
      </w:pPr>
      <w:r>
        <w:rPr>
          <w:rFonts w:hint="eastAsia" w:ascii="仿宋_GB2312" w:eastAsia="仿宋_GB2312"/>
          <w:sz w:val="32"/>
        </w:rPr>
        <w:t>空军军医大学</w:t>
      </w:r>
    </w:p>
    <w:p>
      <w:pPr>
        <w:numPr>
          <w:ilvl w:val="0"/>
          <w:numId w:val="1"/>
        </w:numPr>
        <w:rPr>
          <w:rFonts w:hint="eastAsia" w:ascii="仿宋_GB2312" w:eastAsia="仿宋_GB2312"/>
          <w:sz w:val="32"/>
        </w:rPr>
      </w:pPr>
      <w:r>
        <w:rPr>
          <w:rFonts w:hint="eastAsia" w:ascii="仿宋_GB2312" w:eastAsia="仿宋_GB2312"/>
          <w:sz w:val="32"/>
        </w:rPr>
        <w:t xml:space="preserve">提名者 </w:t>
      </w:r>
    </w:p>
    <w:p>
      <w:pPr>
        <w:numPr>
          <w:ilvl w:val="0"/>
          <w:numId w:val="0"/>
        </w:numPr>
        <w:rPr>
          <w:rFonts w:hint="default" w:ascii="仿宋_GB2312" w:eastAsia="仿宋_GB2312"/>
          <w:sz w:val="32"/>
          <w:lang w:val="en-US" w:eastAsia="zh-CN"/>
        </w:rPr>
      </w:pPr>
      <w:r>
        <w:rPr>
          <w:rFonts w:hint="eastAsia" w:ascii="仿宋_GB2312" w:eastAsia="仿宋_GB2312"/>
          <w:sz w:val="32"/>
          <w:lang w:val="en-US" w:eastAsia="zh-CN"/>
        </w:rPr>
        <w:t>陕西省卫生健康委员会</w:t>
      </w:r>
    </w:p>
    <w:p>
      <w:pPr>
        <w:rPr>
          <w:rFonts w:ascii="仿宋_GB2312" w:eastAsia="仿宋_GB2312"/>
          <w:sz w:val="32"/>
        </w:rPr>
      </w:pPr>
      <w:r>
        <w:rPr>
          <w:rFonts w:hint="eastAsia" w:ascii="仿宋_GB2312" w:eastAsia="仿宋_GB2312"/>
          <w:sz w:val="32"/>
        </w:rPr>
        <w:t>五、提名意见</w:t>
      </w:r>
    </w:p>
    <w:p>
      <w:pPr>
        <w:ind w:firstLine="648" w:firstLineChars="200"/>
        <w:rPr>
          <w:rFonts w:ascii="仿宋_GB2312" w:eastAsia="仿宋_GB2312"/>
          <w:bCs/>
          <w:spacing w:val="2"/>
          <w:sz w:val="32"/>
        </w:rPr>
      </w:pPr>
      <w:r>
        <w:rPr>
          <w:rFonts w:hint="eastAsia" w:ascii="仿宋_GB2312" w:eastAsia="仿宋_GB2312"/>
          <w:bCs/>
          <w:spacing w:val="2"/>
          <w:sz w:val="32"/>
          <w:lang w:val="en-US" w:eastAsia="zh-CN"/>
        </w:rPr>
        <w:t>拟</w:t>
      </w:r>
      <w:r>
        <w:rPr>
          <w:rFonts w:hint="eastAsia" w:ascii="仿宋_GB2312" w:eastAsia="仿宋_GB2312"/>
          <w:bCs/>
          <w:spacing w:val="2"/>
          <w:sz w:val="32"/>
        </w:rPr>
        <w:t>提名该项目为陕西省科技进步奖</w:t>
      </w:r>
      <w:bookmarkStart w:id="0" w:name="_GoBack"/>
      <w:bookmarkEnd w:id="0"/>
      <w:r>
        <w:rPr>
          <w:rFonts w:hint="eastAsia" w:ascii="仿宋_GB2312" w:eastAsia="仿宋_GB2312"/>
          <w:bCs/>
          <w:spacing w:val="2"/>
          <w:sz w:val="32"/>
        </w:rPr>
        <w:t>。</w:t>
      </w:r>
    </w:p>
    <w:p>
      <w:pPr>
        <w:rPr>
          <w:rFonts w:ascii="仿宋_GB2312" w:eastAsia="仿宋_GB2312"/>
          <w:sz w:val="32"/>
        </w:rPr>
      </w:pPr>
      <w:r>
        <w:rPr>
          <w:rFonts w:hint="eastAsia" w:ascii="仿宋_GB2312" w:eastAsia="仿宋_GB2312"/>
          <w:sz w:val="32"/>
        </w:rPr>
        <w:t>六、项目简介</w:t>
      </w:r>
    </w:p>
    <w:p>
      <w:pPr>
        <w:ind w:firstLine="648" w:firstLineChars="200"/>
        <w:rPr>
          <w:rFonts w:ascii="仿宋_GB2312" w:eastAsia="仿宋_GB2312"/>
          <w:sz w:val="32"/>
        </w:rPr>
      </w:pPr>
      <w:r>
        <w:rPr>
          <w:rFonts w:ascii="Times New Roman" w:hAnsi="Times New Roman" w:eastAsia="仿宋_GB2312" w:cs="Times New Roman"/>
          <w:bCs/>
          <w:spacing w:val="2"/>
          <w:sz w:val="32"/>
        </w:rPr>
        <w:t>糖尿病是目前严重危害人类健康的重大公共健康问题，β细胞功能缺陷和胰岛素抵抗是其重要的病理生理基础，其中氧化应激损伤和脂毒性损伤在其发病机制中发挥重要作用，而经典中药单方小檗碱对胰岛β细胞的损伤具有重要的保护作用。小檗碱,又称黄连素,是一种异喹啉生物碱,具有降糖、调脂作用。本课题通过棕榈树损伤后的胰岛β细胞及体内糖尿病大鼠实验，以小檗碱为切入点，验证了小檗碱对脂毒性损伤的胰岛βTC3细胞具有保护作用,且脂毒性作用时间越短,小檗碱的保护作用越好；可改善棕榈酸引起的胰岛素分泌减少，抑制脂毒性诱导的PTEN表达及通过调节AMPK及PTEN的表达来发挥抗氧化作用，实现了小檗碱在体内蛋白水平上的靶效应，为开发新型抗氧化应激药物提供理论依据。另外，在体外糖尿病病变大鼠实验，小檗碱通过使nF-κB信号通路失活而抑制氧化应激和细胞凋亡，从而改善高糖对视网膜微血管损伤；通过激活Nrf2信号通路改善糖尿病大鼠的氧化性肾损伤，实现肾脏保护作用。总之，本课题通过体内外实验验证了小檗碱对胰岛β细胞功能的保护作用，也为临床治疗糖尿病微血管病变的提供理论基础。</w:t>
      </w:r>
    </w:p>
    <w:p>
      <w:pPr>
        <w:rPr>
          <w:rFonts w:ascii="仿宋_GB2312" w:eastAsia="仿宋_GB2312"/>
          <w:sz w:val="32"/>
        </w:rPr>
      </w:pPr>
      <w:r>
        <w:rPr>
          <w:rFonts w:hint="eastAsia" w:ascii="仿宋_GB2312" w:eastAsia="仿宋_GB2312"/>
          <w:sz w:val="32"/>
        </w:rPr>
        <w:t>七、客观评价</w:t>
      </w:r>
    </w:p>
    <w:p>
      <w:pPr>
        <w:spacing w:line="360" w:lineRule="auto"/>
        <w:ind w:firstLine="648" w:firstLineChars="200"/>
        <w:rPr>
          <w:rFonts w:ascii="Times New Roman" w:hAnsi="Times New Roman" w:eastAsia="仿宋_GB2312" w:cs="Times New Roman"/>
          <w:bCs/>
          <w:spacing w:val="2"/>
          <w:sz w:val="32"/>
        </w:rPr>
      </w:pPr>
      <w:r>
        <w:rPr>
          <w:rFonts w:hint="eastAsia" w:ascii="Times New Roman" w:hAnsi="Times New Roman" w:eastAsia="仿宋_GB2312" w:cs="Times New Roman"/>
          <w:bCs/>
          <w:spacing w:val="2"/>
          <w:sz w:val="32"/>
        </w:rPr>
        <w:t>中国生理学会消化</w:t>
      </w:r>
      <w:r>
        <w:rPr>
          <w:rFonts w:hint="eastAsia" w:ascii="仿宋_GB2312" w:eastAsia="仿宋_GB2312"/>
          <w:sz w:val="32"/>
        </w:rPr>
        <w:t>、</w:t>
      </w:r>
      <w:r>
        <w:rPr>
          <w:rFonts w:hint="eastAsia" w:ascii="Times New Roman" w:hAnsi="Times New Roman" w:eastAsia="仿宋_GB2312" w:cs="Times New Roman"/>
          <w:bCs/>
          <w:spacing w:val="2"/>
          <w:sz w:val="32"/>
        </w:rPr>
        <w:t>生殖</w:t>
      </w:r>
      <w:r>
        <w:rPr>
          <w:rFonts w:hint="eastAsia" w:ascii="仿宋_GB2312" w:eastAsia="仿宋_GB2312"/>
          <w:sz w:val="32"/>
        </w:rPr>
        <w:t>、</w:t>
      </w:r>
      <w:r>
        <w:rPr>
          <w:rFonts w:hint="eastAsia" w:ascii="Times New Roman" w:hAnsi="Times New Roman" w:eastAsia="仿宋_GB2312" w:cs="Times New Roman"/>
          <w:bCs/>
          <w:spacing w:val="2"/>
          <w:sz w:val="32"/>
        </w:rPr>
        <w:t>内分泌专业委员会委员</w:t>
      </w:r>
      <w:r>
        <w:rPr>
          <w:rFonts w:hint="eastAsia" w:ascii="仿宋_GB2312" w:eastAsia="仿宋_GB2312"/>
          <w:sz w:val="32"/>
        </w:rPr>
        <w:t>、内分泌专业委员会委员、</w:t>
      </w:r>
      <w:r>
        <w:rPr>
          <w:rFonts w:hint="eastAsia" w:ascii="Times New Roman" w:hAnsi="Times New Roman" w:eastAsia="仿宋_GB2312" w:cs="Times New Roman"/>
          <w:bCs/>
          <w:spacing w:val="2"/>
          <w:sz w:val="32"/>
        </w:rPr>
        <w:t>中国医师协会内分泌代谢病分会会员</w:t>
      </w:r>
      <w:r>
        <w:rPr>
          <w:rFonts w:hint="eastAsia" w:ascii="仿宋_GB2312" w:eastAsia="仿宋_GB2312"/>
          <w:sz w:val="32"/>
        </w:rPr>
        <w:t>、</w:t>
      </w:r>
      <w:r>
        <w:rPr>
          <w:rFonts w:hint="eastAsia" w:ascii="Times New Roman" w:hAnsi="Times New Roman" w:eastAsia="仿宋_GB2312" w:cs="Times New Roman"/>
          <w:bCs/>
          <w:spacing w:val="2"/>
          <w:sz w:val="32"/>
        </w:rPr>
        <w:t>高新医院内分泌科主任焦凯教授在2021年中国内分泌年会中表示：</w:t>
      </w:r>
      <w:r>
        <w:rPr>
          <w:rFonts w:ascii="Times New Roman" w:hAnsi="Times New Roman" w:eastAsia="仿宋_GB2312" w:cs="Times New Roman"/>
          <w:bCs/>
          <w:spacing w:val="2"/>
          <w:sz w:val="32"/>
        </w:rPr>
        <w:t>黄连碱是一种存在于黄连</w:t>
      </w:r>
      <w:r>
        <w:rPr>
          <w:rFonts w:hint="eastAsia" w:ascii="Times New Roman" w:hAnsi="Times New Roman" w:eastAsia="仿宋_GB2312" w:cs="Times New Roman"/>
          <w:bCs/>
          <w:spacing w:val="2"/>
          <w:sz w:val="32"/>
        </w:rPr>
        <w:t>中的</w:t>
      </w:r>
      <w:r>
        <w:rPr>
          <w:rFonts w:ascii="Times New Roman" w:hAnsi="Times New Roman" w:eastAsia="仿宋_GB2312" w:cs="Times New Roman"/>
          <w:bCs/>
          <w:spacing w:val="2"/>
          <w:sz w:val="32"/>
        </w:rPr>
        <w:t>天然原小檗碱异喹啉生物碱，具有多种药理作用，如抗菌、抗炎、抗肿瘤和神经保护活性。基于其清除自由基的能力，还表现出抗氧化功能。此外</w:t>
      </w:r>
      <w:r>
        <w:rPr>
          <w:rFonts w:hint="eastAsia" w:ascii="Times New Roman" w:hAnsi="Times New Roman" w:eastAsia="仿宋_GB2312" w:cs="Times New Roman"/>
          <w:bCs/>
          <w:spacing w:val="2"/>
          <w:sz w:val="32"/>
        </w:rPr>
        <w:t>，有研究证实</w:t>
      </w:r>
      <w:r>
        <w:rPr>
          <w:rFonts w:ascii="Times New Roman" w:hAnsi="Times New Roman" w:eastAsia="仿宋_GB2312" w:cs="Times New Roman"/>
          <w:bCs/>
          <w:spacing w:val="2"/>
          <w:sz w:val="32"/>
        </w:rPr>
        <w:t>，黄连素具有很强的α葡萄糖苷酶和醛糖还原酶抑制活性。也有文献曾报道黄连碱在中药临床应用中的“</w:t>
      </w:r>
      <w:r>
        <w:rPr>
          <w:rFonts w:hint="eastAsia" w:ascii="Times New Roman" w:hAnsi="Times New Roman" w:eastAsia="仿宋_GB2312" w:cs="Times New Roman"/>
          <w:bCs/>
          <w:spacing w:val="2"/>
          <w:sz w:val="32"/>
        </w:rPr>
        <w:t>降</w:t>
      </w:r>
      <w:r>
        <w:rPr>
          <w:rFonts w:ascii="Times New Roman" w:hAnsi="Times New Roman" w:eastAsia="仿宋_GB2312" w:cs="Times New Roman"/>
          <w:bCs/>
          <w:spacing w:val="2"/>
          <w:sz w:val="32"/>
        </w:rPr>
        <w:t>糖”作用，尤其是在治疗</w:t>
      </w:r>
      <w:r>
        <w:rPr>
          <w:rFonts w:hint="eastAsia" w:ascii="Times New Roman" w:hAnsi="Times New Roman" w:eastAsia="仿宋_GB2312" w:cs="Times New Roman"/>
          <w:bCs/>
          <w:spacing w:val="2"/>
          <w:sz w:val="32"/>
        </w:rPr>
        <w:t>“</w:t>
      </w:r>
      <w:r>
        <w:rPr>
          <w:rFonts w:ascii="Times New Roman" w:hAnsi="Times New Roman" w:eastAsia="仿宋_GB2312" w:cs="Times New Roman"/>
          <w:bCs/>
          <w:spacing w:val="2"/>
          <w:sz w:val="32"/>
        </w:rPr>
        <w:t>糖尿病</w:t>
      </w:r>
      <w:r>
        <w:rPr>
          <w:rFonts w:hint="eastAsia" w:ascii="Times New Roman" w:hAnsi="Times New Roman" w:eastAsia="仿宋_GB2312" w:cs="Times New Roman"/>
          <w:bCs/>
          <w:spacing w:val="2"/>
          <w:sz w:val="32"/>
        </w:rPr>
        <w:t>合并</w:t>
      </w:r>
      <w:r>
        <w:rPr>
          <w:rFonts w:ascii="Times New Roman" w:hAnsi="Times New Roman" w:eastAsia="仿宋_GB2312" w:cs="Times New Roman"/>
          <w:bCs/>
          <w:spacing w:val="2"/>
          <w:sz w:val="32"/>
        </w:rPr>
        <w:t>高脂血症</w:t>
      </w:r>
      <w:r>
        <w:rPr>
          <w:rFonts w:hint="eastAsia" w:ascii="Times New Roman" w:hAnsi="Times New Roman" w:eastAsia="仿宋_GB2312" w:cs="Times New Roman"/>
          <w:bCs/>
          <w:spacing w:val="2"/>
          <w:sz w:val="32"/>
        </w:rPr>
        <w:t>”</w:t>
      </w:r>
      <w:r>
        <w:rPr>
          <w:rFonts w:ascii="Times New Roman" w:hAnsi="Times New Roman" w:eastAsia="仿宋_GB2312" w:cs="Times New Roman"/>
          <w:bCs/>
          <w:spacing w:val="2"/>
          <w:sz w:val="32"/>
        </w:rPr>
        <w:t>方面。这些研究表明黄连</w:t>
      </w:r>
      <w:r>
        <w:rPr>
          <w:rFonts w:hint="eastAsia" w:ascii="Times New Roman" w:hAnsi="Times New Roman" w:eastAsia="仿宋_GB2312" w:cs="Times New Roman"/>
          <w:bCs/>
          <w:spacing w:val="2"/>
          <w:sz w:val="32"/>
        </w:rPr>
        <w:t>碱</w:t>
      </w:r>
      <w:r>
        <w:rPr>
          <w:rFonts w:ascii="Times New Roman" w:hAnsi="Times New Roman" w:eastAsia="仿宋_GB2312" w:cs="Times New Roman"/>
          <w:bCs/>
          <w:spacing w:val="2"/>
          <w:sz w:val="32"/>
        </w:rPr>
        <w:t>在糖尿病治疗中的潜在用途。</w:t>
      </w:r>
      <w:r>
        <w:rPr>
          <w:rFonts w:hint="eastAsia" w:ascii="Times New Roman" w:hAnsi="Times New Roman" w:eastAsia="仿宋_GB2312" w:cs="Times New Roman"/>
          <w:bCs/>
          <w:spacing w:val="2"/>
          <w:sz w:val="32"/>
        </w:rPr>
        <w:t>西京医院内分泌科李晓苗教授的课题组</w:t>
      </w:r>
      <w:r>
        <w:rPr>
          <w:rFonts w:ascii="Times New Roman" w:hAnsi="Times New Roman" w:eastAsia="仿宋_GB2312" w:cs="Times New Roman"/>
          <w:bCs/>
          <w:spacing w:val="2"/>
          <w:sz w:val="32"/>
        </w:rPr>
        <w:t>通过体内动物实验首次证实黄连碱对大鼠糖尿病肾病的保护作用</w:t>
      </w:r>
      <w:r>
        <w:rPr>
          <w:rFonts w:hint="eastAsia" w:ascii="Times New Roman" w:hAnsi="Times New Roman" w:eastAsia="仿宋_GB2312" w:cs="Times New Roman"/>
          <w:bCs/>
          <w:spacing w:val="2"/>
          <w:sz w:val="32"/>
        </w:rPr>
        <w:t>，</w:t>
      </w:r>
      <w:r>
        <w:rPr>
          <w:rFonts w:ascii="Times New Roman" w:hAnsi="Times New Roman" w:eastAsia="仿宋_GB2312" w:cs="Times New Roman"/>
          <w:bCs/>
          <w:spacing w:val="2"/>
          <w:sz w:val="32"/>
        </w:rPr>
        <w:t>通过使nF-κB信号通路失活而抑制氧化应激和细胞凋亡，从而改善高</w:t>
      </w:r>
      <w:r>
        <w:rPr>
          <w:rFonts w:hint="eastAsia" w:ascii="Times New Roman" w:hAnsi="Times New Roman" w:eastAsia="仿宋_GB2312" w:cs="Times New Roman"/>
          <w:bCs/>
          <w:spacing w:val="2"/>
          <w:sz w:val="32"/>
        </w:rPr>
        <w:t>血</w:t>
      </w:r>
      <w:r>
        <w:rPr>
          <w:rFonts w:ascii="Times New Roman" w:hAnsi="Times New Roman" w:eastAsia="仿宋_GB2312" w:cs="Times New Roman"/>
          <w:bCs/>
          <w:spacing w:val="2"/>
          <w:sz w:val="32"/>
        </w:rPr>
        <w:t>糖对视网膜微血管损伤；</w:t>
      </w:r>
      <w:r>
        <w:rPr>
          <w:rFonts w:hint="eastAsia" w:ascii="Times New Roman" w:hAnsi="Times New Roman" w:eastAsia="仿宋_GB2312" w:cs="Times New Roman"/>
          <w:bCs/>
          <w:spacing w:val="2"/>
          <w:sz w:val="32"/>
        </w:rPr>
        <w:t>初步阐明了潜在分子调控机制，不仅为临床治疗提供了理论依据，也揭示了黄连碱在临床糖尿病肾病治疗应用中的潜在价值。研究表明，</w:t>
      </w:r>
      <w:r>
        <w:rPr>
          <w:rFonts w:ascii="Times New Roman" w:hAnsi="Times New Roman" w:eastAsia="仿宋_GB2312" w:cs="Times New Roman"/>
          <w:bCs/>
          <w:spacing w:val="2"/>
          <w:sz w:val="32"/>
        </w:rPr>
        <w:t>小檗碱</w:t>
      </w:r>
      <w:r>
        <w:rPr>
          <w:rFonts w:hint="eastAsia" w:ascii="Times New Roman" w:hAnsi="Times New Roman" w:eastAsia="仿宋_GB2312" w:cs="Times New Roman"/>
          <w:bCs/>
          <w:spacing w:val="2"/>
          <w:sz w:val="32"/>
        </w:rPr>
        <w:t>保护视网膜内皮细胞免受白细胞攻击，能够改善糖尿病患者的毛细血管病变。然而其对糖尿病视网膜病变的影响机制尚不清楚，我们通过体内外实验系统研究了</w:t>
      </w:r>
      <w:r>
        <w:rPr>
          <w:rFonts w:ascii="Times New Roman" w:hAnsi="Times New Roman" w:eastAsia="仿宋_GB2312" w:cs="Times New Roman"/>
          <w:bCs/>
          <w:spacing w:val="2"/>
          <w:sz w:val="32"/>
        </w:rPr>
        <w:t>小檗碱</w:t>
      </w:r>
      <w:r>
        <w:rPr>
          <w:rFonts w:hint="eastAsia" w:ascii="Times New Roman" w:hAnsi="Times New Roman" w:eastAsia="仿宋_GB2312" w:cs="Times New Roman"/>
          <w:bCs/>
          <w:spacing w:val="2"/>
          <w:sz w:val="32"/>
        </w:rPr>
        <w:t>在糖尿病视网膜病变中的治疗作用，</w:t>
      </w:r>
      <w:r>
        <w:rPr>
          <w:rFonts w:ascii="Times New Roman" w:hAnsi="Times New Roman" w:eastAsia="仿宋_GB2312" w:cs="Times New Roman"/>
          <w:bCs/>
          <w:spacing w:val="2"/>
          <w:sz w:val="32"/>
        </w:rPr>
        <w:t>通过激活Nrf2信号通路改善糖尿病大鼠的氧化性肾损伤，实现肾脏保护作用。</w:t>
      </w:r>
      <w:r>
        <w:rPr>
          <w:rFonts w:hint="eastAsia" w:ascii="Times New Roman" w:hAnsi="Times New Roman" w:eastAsia="仿宋_GB2312" w:cs="Times New Roman"/>
          <w:bCs/>
          <w:spacing w:val="2"/>
          <w:sz w:val="32"/>
        </w:rPr>
        <w:t>初步阐明了分子调控机制，为</w:t>
      </w:r>
      <w:r>
        <w:rPr>
          <w:rFonts w:ascii="Times New Roman" w:hAnsi="Times New Roman" w:eastAsia="仿宋_GB2312" w:cs="Times New Roman"/>
          <w:bCs/>
          <w:spacing w:val="2"/>
          <w:sz w:val="32"/>
        </w:rPr>
        <w:t>小檗碱</w:t>
      </w:r>
      <w:r>
        <w:rPr>
          <w:rFonts w:hint="eastAsia" w:ascii="Times New Roman" w:hAnsi="Times New Roman" w:eastAsia="仿宋_GB2312" w:cs="Times New Roman"/>
          <w:bCs/>
          <w:spacing w:val="2"/>
          <w:sz w:val="32"/>
        </w:rPr>
        <w:t>在临床中的应用提供了一定的理论依据，为新药的研发提供了新思路和新视角。</w:t>
      </w:r>
    </w:p>
    <w:p>
      <w:pPr>
        <w:rPr>
          <w:rFonts w:ascii="仿宋_GB2312" w:eastAsia="仿宋_GB2312"/>
          <w:sz w:val="32"/>
        </w:rPr>
      </w:pPr>
      <w:r>
        <w:rPr>
          <w:rFonts w:hint="eastAsia" w:ascii="仿宋_GB2312" w:eastAsia="仿宋_GB2312"/>
          <w:sz w:val="32"/>
        </w:rPr>
        <w:t>八、应用情况</w:t>
      </w:r>
    </w:p>
    <w:p>
      <w:pPr>
        <w:ind w:firstLine="640" w:firstLineChars="200"/>
        <w:rPr>
          <w:rFonts w:ascii="仿宋_GB2312" w:eastAsia="仿宋_GB2312"/>
          <w:sz w:val="32"/>
        </w:rPr>
      </w:pPr>
      <w:r>
        <w:rPr>
          <w:rFonts w:hint="eastAsia" w:ascii="仿宋_GB2312" w:eastAsia="仿宋_GB2312"/>
          <w:sz w:val="32"/>
        </w:rPr>
        <w:t>在2019年1月至2021年12月在西京医院内分泌科对</w:t>
      </w:r>
      <w:r>
        <w:rPr>
          <w:rFonts w:ascii="仿宋_GB2312" w:eastAsia="仿宋_GB2312"/>
          <w:sz w:val="32"/>
        </w:rPr>
        <w:t>189</w:t>
      </w:r>
      <w:r>
        <w:rPr>
          <w:rFonts w:hint="eastAsia" w:ascii="仿宋_GB2312" w:eastAsia="仿宋_GB2312"/>
          <w:sz w:val="32"/>
        </w:rPr>
        <w:t>名2型糖尿病患者进行口服小檗碱0.3g,3次每日口服治疗，监测3月后空腹血糖、餐后2小时血糖、糖化血红蛋白，均有显著下降，特别是对糖尿病合并高脂血症也有较明显的改善。减轻了患者的住院次数和经济负担。受到患者的一致好评。并产生了较好的社会效益。</w:t>
      </w:r>
    </w:p>
    <w:p>
      <w:pPr>
        <w:rPr>
          <w:rFonts w:ascii="仿宋_GB2312" w:eastAsia="仿宋_GB2312"/>
          <w:sz w:val="32"/>
        </w:rPr>
      </w:pPr>
      <w:r>
        <w:rPr>
          <w:rFonts w:hint="eastAsia" w:ascii="仿宋_GB2312" w:eastAsia="仿宋_GB2312"/>
          <w:sz w:val="32"/>
        </w:rPr>
        <w:t>九、主要知识产权和标准规范等目录</w:t>
      </w:r>
    </w:p>
    <w:tbl>
      <w:tblPr>
        <w:tblStyle w:val="5"/>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39"/>
        <w:gridCol w:w="438"/>
        <w:gridCol w:w="1278"/>
        <w:gridCol w:w="654"/>
        <w:gridCol w:w="1846"/>
        <w:gridCol w:w="1196"/>
        <w:gridCol w:w="1135"/>
        <w:gridCol w:w="583"/>
        <w:gridCol w:w="9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序号</w:t>
            </w:r>
          </w:p>
        </w:tc>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知识产权类    别</w:t>
            </w:r>
          </w:p>
        </w:tc>
        <w:tc>
          <w:tcPr>
            <w:tcW w:w="75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知识产权</w:t>
            </w:r>
          </w:p>
          <w:p>
            <w:pPr>
              <w:pStyle w:val="2"/>
              <w:spacing w:line="240" w:lineRule="auto"/>
              <w:ind w:firstLine="0" w:firstLineChars="0"/>
              <w:jc w:val="center"/>
              <w:rPr>
                <w:rFonts w:eastAsia="仿宋_GB2312"/>
                <w:sz w:val="21"/>
                <w:szCs w:val="21"/>
              </w:rPr>
            </w:pPr>
            <w:r>
              <w:rPr>
                <w:rFonts w:hint="eastAsia" w:eastAsia="仿宋_GB2312"/>
                <w:sz w:val="21"/>
                <w:szCs w:val="21"/>
              </w:rPr>
              <w:t>具体名称</w:t>
            </w:r>
          </w:p>
        </w:tc>
        <w:tc>
          <w:tcPr>
            <w:tcW w:w="3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国家</w:t>
            </w:r>
          </w:p>
          <w:p>
            <w:pPr>
              <w:pStyle w:val="2"/>
              <w:spacing w:line="240" w:lineRule="auto"/>
              <w:ind w:firstLine="0" w:firstLineChars="0"/>
              <w:jc w:val="center"/>
              <w:rPr>
                <w:rFonts w:eastAsia="仿宋_GB2312"/>
                <w:sz w:val="21"/>
                <w:szCs w:val="21"/>
              </w:rPr>
            </w:pPr>
            <w:r>
              <w:rPr>
                <w:rFonts w:hint="eastAsia" w:eastAsia="仿宋_GB2312"/>
                <w:sz w:val="21"/>
                <w:szCs w:val="21"/>
              </w:rPr>
              <w:t>（地区）</w:t>
            </w:r>
          </w:p>
        </w:tc>
        <w:tc>
          <w:tcPr>
            <w:tcW w:w="10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授权号</w:t>
            </w:r>
          </w:p>
        </w:tc>
        <w:tc>
          <w:tcPr>
            <w:tcW w:w="70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授权日期</w:t>
            </w:r>
          </w:p>
        </w:tc>
        <w:tc>
          <w:tcPr>
            <w:tcW w:w="66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证书编号</w:t>
            </w:r>
          </w:p>
        </w:tc>
        <w:tc>
          <w:tcPr>
            <w:tcW w:w="34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权利人</w:t>
            </w:r>
          </w:p>
        </w:tc>
        <w:tc>
          <w:tcPr>
            <w:tcW w:w="55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eastAsia="仿宋_GB2312"/>
                <w:sz w:val="21"/>
                <w:szCs w:val="21"/>
              </w:rPr>
            </w:pPr>
            <w:r>
              <w:rPr>
                <w:rFonts w:hint="eastAsia" w:eastAsia="仿宋_GB2312"/>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1</w:t>
            </w:r>
          </w:p>
        </w:tc>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hint="eastAsia" w:ascii="Times New Roman" w:eastAsia="仿宋_GB2312" w:cs="Times New Roman"/>
                <w:sz w:val="21"/>
                <w:szCs w:val="21"/>
              </w:rPr>
              <w:t>论文</w:t>
            </w:r>
          </w:p>
        </w:tc>
        <w:tc>
          <w:tcPr>
            <w:tcW w:w="75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小檗碱对损伤胰岛βTC6细胞相关信号分子表达的影响</w:t>
            </w:r>
          </w:p>
        </w:tc>
        <w:tc>
          <w:tcPr>
            <w:tcW w:w="3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中国</w:t>
            </w:r>
          </w:p>
        </w:tc>
        <w:tc>
          <w:tcPr>
            <w:tcW w:w="10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19(10):1835-1839</w:t>
            </w:r>
          </w:p>
        </w:tc>
        <w:tc>
          <w:tcPr>
            <w:tcW w:w="70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default" w:ascii="Times New Roman" w:eastAsia="仿宋_GB2312" w:cs="Times New Roman"/>
                <w:sz w:val="21"/>
                <w:szCs w:val="21"/>
                <w:lang w:val="en-US" w:eastAsia="zh-CN"/>
              </w:rPr>
            </w:pPr>
            <w:r>
              <w:rPr>
                <w:rFonts w:ascii="Times New Roman" w:eastAsia="仿宋_GB2312" w:cs="Times New Roman"/>
                <w:sz w:val="21"/>
                <w:szCs w:val="21"/>
              </w:rPr>
              <w:t>2019</w:t>
            </w:r>
            <w:r>
              <w:rPr>
                <w:rFonts w:hint="eastAsia" w:ascii="Times New Roman" w:eastAsia="仿宋_GB2312" w:cs="Times New Roman"/>
                <w:sz w:val="21"/>
                <w:szCs w:val="21"/>
                <w:lang w:val="en-US" w:eastAsia="zh-CN"/>
              </w:rPr>
              <w:t>年5月30日</w:t>
            </w:r>
          </w:p>
        </w:tc>
        <w:tc>
          <w:tcPr>
            <w:tcW w:w="66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hint="eastAsia" w:ascii="Times New Roman" w:eastAsia="仿宋_GB2312" w:cs="Times New Roman"/>
                <w:sz w:val="21"/>
                <w:szCs w:val="21"/>
              </w:rPr>
              <w:t>现代生物医学进展</w:t>
            </w:r>
          </w:p>
        </w:tc>
        <w:tc>
          <w:tcPr>
            <w:tcW w:w="34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eastAsia="仿宋_GB2312" w:cs="Times New Roman"/>
                <w:sz w:val="21"/>
                <w:szCs w:val="21"/>
                <w:lang w:eastAsia="zh-CN"/>
              </w:rPr>
            </w:pPr>
            <w:r>
              <w:rPr>
                <w:rFonts w:hint="eastAsia" w:ascii="Times New Roman" w:eastAsia="仿宋_GB2312" w:cs="Times New Roman"/>
                <w:sz w:val="21"/>
                <w:szCs w:val="21"/>
                <w:lang w:val="en-US" w:eastAsia="zh-CN"/>
              </w:rPr>
              <w:t>空军军医大学</w:t>
            </w:r>
          </w:p>
        </w:tc>
        <w:tc>
          <w:tcPr>
            <w:tcW w:w="55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eastAsia="仿宋_GB2312" w:cs="Times New Roman"/>
                <w:sz w:val="21"/>
                <w:szCs w:val="21"/>
              </w:rPr>
            </w:pPr>
            <w:r>
              <w:rPr>
                <w:rFonts w:hint="eastAsia" w:eastAsia="仿宋_GB2312" w:cs="Times New Roman"/>
                <w:sz w:val="21"/>
                <w:szCs w:val="21"/>
                <w:lang w:val="en-US" w:eastAsia="zh-CN"/>
              </w:rPr>
              <w:t>李晓苗</w:t>
            </w:r>
            <w:r>
              <w:rPr>
                <w:rFonts w:hint="eastAsia" w:eastAsia="仿宋_GB2312" w:cs="Times New Roman"/>
                <w:sz w:val="21"/>
                <w:szCs w:val="21"/>
              </w:rPr>
              <w:t>翟佳佳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2</w:t>
            </w:r>
          </w:p>
        </w:tc>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论文</w:t>
            </w:r>
          </w:p>
        </w:tc>
        <w:tc>
          <w:tcPr>
            <w:tcW w:w="75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Coptisine ameliorates renal injury in diabetic rats through the activation of Nrf2 signaling pathway</w:t>
            </w:r>
          </w:p>
        </w:tc>
        <w:tc>
          <w:tcPr>
            <w:tcW w:w="3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hint="eastAsia" w:ascii="Times New Roman" w:eastAsia="仿宋_GB2312" w:cs="Times New Roman"/>
                <w:sz w:val="21"/>
                <w:szCs w:val="21"/>
              </w:rPr>
              <w:t>中国</w:t>
            </w:r>
          </w:p>
        </w:tc>
        <w:tc>
          <w:tcPr>
            <w:tcW w:w="10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393(1):57-65</w:t>
            </w:r>
          </w:p>
        </w:tc>
        <w:tc>
          <w:tcPr>
            <w:tcW w:w="70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 </w:t>
            </w:r>
            <w:r>
              <w:rPr>
                <w:rFonts w:hint="default" w:ascii="Times New Roman" w:eastAsia="仿宋_GB2312" w:cs="Times New Roman"/>
                <w:sz w:val="21"/>
                <w:szCs w:val="21"/>
              </w:rPr>
              <w:t>2019 年 8 月 16 日</w:t>
            </w:r>
          </w:p>
        </w:tc>
        <w:tc>
          <w:tcPr>
            <w:tcW w:w="66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Naunyn Schmiedebergs Arch Pharmacol</w:t>
            </w:r>
          </w:p>
        </w:tc>
        <w:tc>
          <w:tcPr>
            <w:tcW w:w="34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eastAsia="仿宋_GB2312" w:cs="Times New Roman"/>
                <w:sz w:val="21"/>
                <w:szCs w:val="21"/>
                <w:lang w:eastAsia="zh-CN"/>
              </w:rPr>
            </w:pPr>
            <w:r>
              <w:rPr>
                <w:rFonts w:hint="eastAsia" w:ascii="Times New Roman" w:eastAsia="仿宋_GB2312" w:cs="Times New Roman"/>
                <w:sz w:val="21"/>
                <w:szCs w:val="21"/>
                <w:lang w:val="en-US" w:eastAsia="zh-CN"/>
              </w:rPr>
              <w:t>空军军医大学</w:t>
            </w:r>
          </w:p>
        </w:tc>
        <w:tc>
          <w:tcPr>
            <w:tcW w:w="55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eastAsia="仿宋_GB2312" w:cs="Times New Roman"/>
                <w:sz w:val="21"/>
                <w:szCs w:val="21"/>
                <w:lang w:val="en-US" w:eastAsia="zh-CN"/>
              </w:rPr>
            </w:pPr>
            <w:r>
              <w:rPr>
                <w:rFonts w:hint="eastAsia" w:eastAsia="仿宋_GB2312" w:cs="Times New Roman"/>
                <w:sz w:val="21"/>
                <w:szCs w:val="21"/>
                <w:lang w:val="en-US" w:eastAsia="zh-CN"/>
              </w:rPr>
              <w:t>李晓苗</w:t>
            </w:r>
          </w:p>
          <w:p>
            <w:pPr>
              <w:pStyle w:val="2"/>
              <w:spacing w:line="240" w:lineRule="auto"/>
              <w:ind w:firstLine="0" w:firstLineChars="0"/>
              <w:jc w:val="center"/>
              <w:rPr>
                <w:rFonts w:hint="eastAsia" w:eastAsia="仿宋_GB2312" w:cs="Times New Roman"/>
                <w:sz w:val="21"/>
                <w:szCs w:val="21"/>
              </w:rPr>
            </w:pPr>
            <w:r>
              <w:rPr>
                <w:rFonts w:hint="eastAsia" w:eastAsia="仿宋_GB2312" w:cs="Times New Roman"/>
                <w:sz w:val="21"/>
                <w:szCs w:val="21"/>
              </w:rPr>
              <w:t>翟佳佳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3</w:t>
            </w:r>
          </w:p>
        </w:tc>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论文</w:t>
            </w:r>
          </w:p>
        </w:tc>
        <w:tc>
          <w:tcPr>
            <w:tcW w:w="75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Berberine protects against diabetic retinopathy by inhibiting cell apoptosis via deactivation of the NF‑κB signaling pathway</w:t>
            </w:r>
          </w:p>
        </w:tc>
        <w:tc>
          <w:tcPr>
            <w:tcW w:w="3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hint="eastAsia" w:ascii="Times New Roman" w:eastAsia="仿宋_GB2312" w:cs="Times New Roman"/>
                <w:sz w:val="21"/>
                <w:szCs w:val="21"/>
              </w:rPr>
              <w:t>中国</w:t>
            </w:r>
          </w:p>
        </w:tc>
        <w:tc>
          <w:tcPr>
            <w:tcW w:w="108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22(5):4227-4235</w:t>
            </w:r>
          </w:p>
        </w:tc>
        <w:tc>
          <w:tcPr>
            <w:tcW w:w="701"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2020 年 9 月 14 日</w:t>
            </w:r>
          </w:p>
        </w:tc>
        <w:tc>
          <w:tcPr>
            <w:tcW w:w="66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Mol Med Rep</w:t>
            </w:r>
          </w:p>
        </w:tc>
        <w:tc>
          <w:tcPr>
            <w:tcW w:w="34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imes New Roman" w:eastAsia="仿宋_GB2312" w:cs="Times New Roman"/>
                <w:sz w:val="21"/>
                <w:szCs w:val="21"/>
                <w:lang w:eastAsia="zh-CN"/>
              </w:rPr>
            </w:pPr>
            <w:r>
              <w:rPr>
                <w:rFonts w:hint="eastAsia" w:ascii="Times New Roman" w:eastAsia="仿宋_GB2312" w:cs="Times New Roman"/>
                <w:sz w:val="21"/>
                <w:szCs w:val="21"/>
                <w:lang w:val="en-US" w:eastAsia="zh-CN"/>
              </w:rPr>
              <w:t>空军军医大学</w:t>
            </w:r>
          </w:p>
        </w:tc>
        <w:tc>
          <w:tcPr>
            <w:tcW w:w="55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hint="eastAsia" w:eastAsia="仿宋_GB2312" w:cs="Times New Roman"/>
                <w:sz w:val="21"/>
                <w:szCs w:val="21"/>
                <w:lang w:val="en-US" w:eastAsia="zh-CN"/>
              </w:rPr>
            </w:pPr>
            <w:r>
              <w:rPr>
                <w:rFonts w:hint="eastAsia" w:eastAsia="仿宋_GB2312" w:cs="Times New Roman"/>
                <w:sz w:val="21"/>
                <w:szCs w:val="21"/>
                <w:lang w:val="en-US" w:eastAsia="zh-CN"/>
              </w:rPr>
              <w:t>李晓苗</w:t>
            </w:r>
          </w:p>
          <w:p>
            <w:pPr>
              <w:pStyle w:val="2"/>
              <w:spacing w:line="240" w:lineRule="auto"/>
              <w:ind w:firstLine="0" w:firstLineChars="0"/>
              <w:rPr>
                <w:rFonts w:hint="eastAsia" w:eastAsia="仿宋_GB2312" w:cs="Times New Roman"/>
                <w:sz w:val="21"/>
                <w:szCs w:val="21"/>
              </w:rPr>
            </w:pPr>
            <w:r>
              <w:rPr>
                <w:rFonts w:hint="eastAsia" w:eastAsia="仿宋_GB2312" w:cs="Times New Roman"/>
                <w:sz w:val="21"/>
                <w:szCs w:val="21"/>
              </w:rPr>
              <w:t>翟佳佳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4</w:t>
            </w:r>
          </w:p>
        </w:tc>
        <w:tc>
          <w:tcPr>
            <w:tcW w:w="257"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750"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383"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1083"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701"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666"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342"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558"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hint="eastAsia" w:ascii="仿宋_GB2312" w:hAnsi="Times New Roman" w:eastAsia="仿宋_GB2312" w:cs="Times New Roman"/>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5</w:t>
            </w:r>
          </w:p>
        </w:tc>
        <w:tc>
          <w:tcPr>
            <w:tcW w:w="257"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750"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383"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1083"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701"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666"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342"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ascii="Times New Roman" w:hAnsi="Times New Roman" w:eastAsia="仿宋_GB2312" w:cs="Times New Roman"/>
                <w:kern w:val="2"/>
                <w:sz w:val="21"/>
                <w:szCs w:val="21"/>
                <w:lang w:val="en-US" w:eastAsia="zh-CN" w:bidi="ar-SA"/>
              </w:rPr>
            </w:pPr>
          </w:p>
        </w:tc>
        <w:tc>
          <w:tcPr>
            <w:tcW w:w="558" w:type="pct"/>
            <w:tcBorders>
              <w:top w:val="single" w:color="auto" w:sz="8" w:space="0"/>
              <w:left w:val="single" w:color="auto" w:sz="8" w:space="0"/>
              <w:bottom w:val="single" w:color="auto" w:sz="8" w:space="0"/>
              <w:right w:val="single" w:color="auto" w:sz="8" w:space="0"/>
            </w:tcBorders>
            <w:vAlign w:val="top"/>
          </w:tcPr>
          <w:p>
            <w:pPr>
              <w:pStyle w:val="2"/>
              <w:spacing w:line="240" w:lineRule="auto"/>
              <w:ind w:firstLine="0" w:firstLineChars="0"/>
              <w:jc w:val="left"/>
              <w:rPr>
                <w:rFonts w:hint="eastAsia" w:ascii="仿宋_GB2312" w:hAnsi="Times New Roman" w:eastAsia="仿宋_GB2312" w:cs="Times New Roman"/>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6</w:t>
            </w:r>
          </w:p>
        </w:tc>
        <w:tc>
          <w:tcPr>
            <w:tcW w:w="257"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50"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10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01"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666"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4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558"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7</w:t>
            </w:r>
          </w:p>
        </w:tc>
        <w:tc>
          <w:tcPr>
            <w:tcW w:w="257"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50"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10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01"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666"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4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558"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8</w:t>
            </w:r>
          </w:p>
        </w:tc>
        <w:tc>
          <w:tcPr>
            <w:tcW w:w="257"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50"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10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01"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666"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4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558"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9</w:t>
            </w:r>
          </w:p>
        </w:tc>
        <w:tc>
          <w:tcPr>
            <w:tcW w:w="257"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50"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10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01"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666"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4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558"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5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sz w:val="21"/>
                <w:szCs w:val="21"/>
              </w:rPr>
            </w:pPr>
            <w:r>
              <w:rPr>
                <w:rFonts w:ascii="Times New Roman"/>
                <w:sz w:val="21"/>
                <w:szCs w:val="21"/>
              </w:rPr>
              <w:t>10</w:t>
            </w:r>
          </w:p>
        </w:tc>
        <w:tc>
          <w:tcPr>
            <w:tcW w:w="257"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50"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1083"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701"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666"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342"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c>
          <w:tcPr>
            <w:tcW w:w="558" w:type="pct"/>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sz w:val="21"/>
                <w:szCs w:val="21"/>
              </w:rPr>
            </w:pPr>
          </w:p>
        </w:tc>
      </w:tr>
    </w:tbl>
    <w:p>
      <w:pPr>
        <w:pStyle w:val="8"/>
        <w:ind w:left="420" w:firstLine="0" w:firstLineChars="0"/>
        <w:rPr>
          <w:rFonts w:ascii="仿宋_GB2312" w:eastAsia="仿宋_GB2312"/>
          <w:bCs/>
          <w:spacing w:val="2"/>
          <w:sz w:val="24"/>
        </w:rPr>
      </w:pPr>
    </w:p>
    <w:p>
      <w:pPr>
        <w:rPr>
          <w:rFonts w:ascii="仿宋_GB2312" w:eastAsia="仿宋_GB2312"/>
          <w:sz w:val="32"/>
        </w:rPr>
      </w:pPr>
      <w:r>
        <w:rPr>
          <w:rFonts w:hint="eastAsia" w:ascii="仿宋_GB2312" w:eastAsia="仿宋_GB2312"/>
          <w:sz w:val="32"/>
        </w:rPr>
        <w:t>十、完成人合作关系说明</w:t>
      </w:r>
    </w:p>
    <w:p>
      <w:pPr>
        <w:ind w:firstLine="648" w:firstLineChars="200"/>
        <w:rPr>
          <w:rFonts w:ascii="Times New Roman" w:hAnsi="Times New Roman" w:eastAsia="仿宋_GB2312" w:cs="Times New Roman"/>
          <w:bCs/>
          <w:spacing w:val="2"/>
          <w:sz w:val="32"/>
        </w:rPr>
      </w:pPr>
      <w:r>
        <w:rPr>
          <w:rFonts w:hint="eastAsia" w:ascii="Times New Roman" w:hAnsi="Times New Roman" w:eastAsia="仿宋_GB2312" w:cs="Times New Roman"/>
          <w:bCs/>
          <w:spacing w:val="2"/>
          <w:sz w:val="32"/>
        </w:rPr>
        <w:t>本课题由李晓苗副教授主导，翟佳佳、张辉锋、马楼艳、张艺四位课题组成员共同参与完成，完成人李晓苗、翟佳佳、张辉锋、马楼艳、张艺均为内分泌或相关专业人员，为本项目共同参与人。李晓苗教授作为本项目负责人，是本项目来源国家自然科学基金的负责人，是本项目多篇文章的通讯作者，并且是应用的重要推广者，翟佳佳作为主要完成人之一，主要负责本项目的实施协调及研究成果发表，是本项目多篇论文的第一作者。张辉锋、马楼艳、张艺作为本项目的参与者主要负责实验结果的整理及分析及论文指导。</w:t>
      </w:r>
    </w:p>
    <w:p>
      <w:pPr>
        <w:rPr>
          <w:rFonts w:ascii="仿宋_GB2312" w:eastAsia="仿宋_GB2312"/>
          <w:sz w:val="32"/>
        </w:rPr>
      </w:pPr>
    </w:p>
    <w:p>
      <w:pPr>
        <w:pStyle w:val="8"/>
        <w:ind w:left="420" w:firstLine="0" w:firstLineChars="0"/>
        <w:rPr>
          <w:rFonts w:ascii="仿宋_GB2312" w:eastAsia="仿宋_GB2312"/>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F75890"/>
    <w:multiLevelType w:val="singleLevel"/>
    <w:tmpl w:val="66F7589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E4MjlhNWY4YTJlZGRjMjk2MDJmNThkMWNlZWViOGIifQ=="/>
  </w:docVars>
  <w:rsids>
    <w:rsidRoot w:val="0063432F"/>
    <w:rsid w:val="0001374C"/>
    <w:rsid w:val="0002349A"/>
    <w:rsid w:val="000430EC"/>
    <w:rsid w:val="00060C02"/>
    <w:rsid w:val="000D6025"/>
    <w:rsid w:val="000F1138"/>
    <w:rsid w:val="00100F76"/>
    <w:rsid w:val="00127BD9"/>
    <w:rsid w:val="0014707E"/>
    <w:rsid w:val="00150D93"/>
    <w:rsid w:val="0016786C"/>
    <w:rsid w:val="001B5ED2"/>
    <w:rsid w:val="00213348"/>
    <w:rsid w:val="00257338"/>
    <w:rsid w:val="002757D1"/>
    <w:rsid w:val="002D526C"/>
    <w:rsid w:val="003258DA"/>
    <w:rsid w:val="00382A8F"/>
    <w:rsid w:val="00385603"/>
    <w:rsid w:val="0039297C"/>
    <w:rsid w:val="003E5DC8"/>
    <w:rsid w:val="00441043"/>
    <w:rsid w:val="00446985"/>
    <w:rsid w:val="00464AEB"/>
    <w:rsid w:val="00480296"/>
    <w:rsid w:val="004D3074"/>
    <w:rsid w:val="004E1A40"/>
    <w:rsid w:val="00551FFE"/>
    <w:rsid w:val="0058018C"/>
    <w:rsid w:val="00612C67"/>
    <w:rsid w:val="0063432F"/>
    <w:rsid w:val="00661550"/>
    <w:rsid w:val="006F5A48"/>
    <w:rsid w:val="0077022A"/>
    <w:rsid w:val="007F0C9B"/>
    <w:rsid w:val="00801D17"/>
    <w:rsid w:val="00840B7E"/>
    <w:rsid w:val="00905B2C"/>
    <w:rsid w:val="00931D38"/>
    <w:rsid w:val="009E6690"/>
    <w:rsid w:val="00A41E3A"/>
    <w:rsid w:val="00A708AC"/>
    <w:rsid w:val="00AF0CE5"/>
    <w:rsid w:val="00B265E3"/>
    <w:rsid w:val="00B35A11"/>
    <w:rsid w:val="00B42ADB"/>
    <w:rsid w:val="00BE152C"/>
    <w:rsid w:val="00BE164B"/>
    <w:rsid w:val="00C16C53"/>
    <w:rsid w:val="00D12CCF"/>
    <w:rsid w:val="00D4436F"/>
    <w:rsid w:val="00D612EE"/>
    <w:rsid w:val="00DA484D"/>
    <w:rsid w:val="00DB7B74"/>
    <w:rsid w:val="00DD0831"/>
    <w:rsid w:val="00DD60BD"/>
    <w:rsid w:val="00E0738E"/>
    <w:rsid w:val="00E369EE"/>
    <w:rsid w:val="00E73007"/>
    <w:rsid w:val="00E8564E"/>
    <w:rsid w:val="00EF6C63"/>
    <w:rsid w:val="00F26091"/>
    <w:rsid w:val="00F4727F"/>
    <w:rsid w:val="00F7008E"/>
    <w:rsid w:val="00F90BD5"/>
    <w:rsid w:val="00FB5336"/>
    <w:rsid w:val="00FF4E3D"/>
    <w:rsid w:val="1B783D58"/>
    <w:rsid w:val="206508D6"/>
    <w:rsid w:val="253D73E5"/>
    <w:rsid w:val="3F165ACD"/>
    <w:rsid w:val="442C4027"/>
    <w:rsid w:val="443E0A1D"/>
    <w:rsid w:val="51C62A4C"/>
    <w:rsid w:val="7B0C1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字符"/>
    <w:link w:val="2"/>
    <w:qFormat/>
    <w:uiPriority w:val="99"/>
    <w:rPr>
      <w:rFonts w:ascii="仿宋_GB2312" w:hAnsi="Times New Roman"/>
      <w:sz w:val="24"/>
    </w:rPr>
  </w:style>
  <w:style w:type="character" w:customStyle="1" w:styleId="10">
    <w:name w:val="纯文本 Char"/>
    <w:basedOn w:val="7"/>
    <w:semiHidden/>
    <w:qFormat/>
    <w:uiPriority w:val="99"/>
    <w:rPr>
      <w:rFonts w:ascii="宋体" w:hAnsi="Courier New" w:eastAsia="宋体" w:cs="Courier New"/>
      <w:szCs w:val="21"/>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纯文本 Char2"/>
    <w:qFormat/>
    <w:uiPriority w:val="0"/>
    <w:rPr>
      <w:rFonts w:ascii="仿宋_GB2312"/>
      <w:kern w:val="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5</Pages>
  <Words>2042</Words>
  <Characters>2341</Characters>
  <Lines>19</Lines>
  <Paragraphs>5</Paragraphs>
  <TotalTime>4</TotalTime>
  <ScaleCrop>false</ScaleCrop>
  <LinksUpToDate>false</LinksUpToDate>
  <CharactersWithSpaces>2392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2022-06-20T00:45:00Z</dcterms:created>
  <dc:creator>NTKO</dc:creator>
  <cp:lastModifiedBy>37046</cp:lastModifiedBy>
  <dcterms:modified xsi:type="dcterms:W3CDTF">2022-06-30T15:16:13Z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56780852EDC64A82ACA71D3640118C1C</vt:lpwstr>
  </property>
</Properties>
</file>