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仿宋_GB2312" w:cs="Times New Roman"/>
          <w:sz w:val="32"/>
        </w:rPr>
      </w:pPr>
      <w:r>
        <w:rPr>
          <w:rFonts w:ascii="Times New Roman" w:hAnsi="Times New Roman" w:eastAsia="仿宋_GB2312" w:cs="Times New Roman"/>
          <w:sz w:val="32"/>
        </w:rPr>
        <w:t>一、项目名称</w:t>
      </w:r>
    </w:p>
    <w:p>
      <w:pPr>
        <w:ind w:firstLine="640" w:firstLineChars="200"/>
        <w:rPr>
          <w:rFonts w:ascii="Times New Roman" w:hAnsi="Times New Roman" w:eastAsia="仿宋_GB2312" w:cs="Times New Roman"/>
          <w:sz w:val="32"/>
        </w:rPr>
      </w:pPr>
      <w:r>
        <w:rPr>
          <w:rFonts w:ascii="Times New Roman" w:hAnsi="Times New Roman" w:eastAsia="仿宋_GB2312" w:cs="Times New Roman"/>
          <w:sz w:val="32"/>
        </w:rPr>
        <w:t>缺血性脑卒中关键病理机制及救治新策略</w:t>
      </w:r>
    </w:p>
    <w:p>
      <w:pPr>
        <w:rPr>
          <w:rFonts w:ascii="Times New Roman" w:hAnsi="Times New Roman" w:eastAsia="仿宋_GB2312" w:cs="Times New Roman"/>
          <w:sz w:val="32"/>
        </w:rPr>
      </w:pPr>
    </w:p>
    <w:p>
      <w:pPr>
        <w:rPr>
          <w:rFonts w:ascii="Times New Roman" w:hAnsi="Times New Roman" w:eastAsia="仿宋_GB2312" w:cs="Times New Roman"/>
          <w:sz w:val="32"/>
        </w:rPr>
      </w:pPr>
      <w:r>
        <w:rPr>
          <w:rFonts w:ascii="Times New Roman" w:hAnsi="Times New Roman" w:eastAsia="仿宋_GB2312" w:cs="Times New Roman"/>
          <w:sz w:val="32"/>
        </w:rPr>
        <w:t>二、主要完成人</w:t>
      </w:r>
    </w:p>
    <w:tbl>
      <w:tblPr>
        <w:tblStyle w:val="10"/>
        <w:tblW w:w="890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88"/>
        <w:gridCol w:w="667"/>
        <w:gridCol w:w="1134"/>
        <w:gridCol w:w="1134"/>
        <w:gridCol w:w="1275"/>
        <w:gridCol w:w="1276"/>
        <w:gridCol w:w="252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88"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姓名</w:t>
            </w:r>
          </w:p>
        </w:tc>
        <w:tc>
          <w:tcPr>
            <w:tcW w:w="667"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排名</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行政职务</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技术职称</w:t>
            </w:r>
          </w:p>
        </w:tc>
        <w:tc>
          <w:tcPr>
            <w:tcW w:w="1275"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工作单位</w:t>
            </w:r>
          </w:p>
        </w:tc>
        <w:tc>
          <w:tcPr>
            <w:tcW w:w="1276"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完成单位</w:t>
            </w:r>
          </w:p>
        </w:tc>
        <w:tc>
          <w:tcPr>
            <w:tcW w:w="2528"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88"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李侠</w:t>
            </w:r>
          </w:p>
        </w:tc>
        <w:tc>
          <w:tcPr>
            <w:tcW w:w="667"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1</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科室</w:t>
            </w:r>
          </w:p>
          <w:p>
            <w:pPr>
              <w:jc w:val="center"/>
              <w:rPr>
                <w:rFonts w:ascii="Times New Roman" w:hAnsi="Times New Roman" w:eastAsia="仿宋_GB2312" w:cs="Times New Roman"/>
                <w:szCs w:val="21"/>
              </w:rPr>
            </w:pPr>
            <w:r>
              <w:rPr>
                <w:rFonts w:ascii="Times New Roman" w:hAnsi="Times New Roman" w:eastAsia="仿宋_GB2312" w:cs="Times New Roman"/>
                <w:szCs w:val="21"/>
              </w:rPr>
              <w:t>副主任</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副教授</w:t>
            </w:r>
          </w:p>
        </w:tc>
        <w:tc>
          <w:tcPr>
            <w:tcW w:w="1275"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中国人民解放军空军军医大学第一附属医院</w:t>
            </w:r>
          </w:p>
        </w:tc>
        <w:tc>
          <w:tcPr>
            <w:tcW w:w="1276"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2528" w:type="dxa"/>
            <w:vAlign w:val="center"/>
          </w:tcPr>
          <w:p>
            <w:pPr>
              <w:rPr>
                <w:rFonts w:ascii="Times New Roman" w:hAnsi="Times New Roman" w:eastAsia="仿宋_GB2312" w:cs="Times New Roman"/>
                <w:szCs w:val="21"/>
              </w:rPr>
            </w:pPr>
            <w:r>
              <w:rPr>
                <w:rFonts w:ascii="Times New Roman" w:hAnsi="Times New Roman" w:eastAsia="仿宋_GB2312" w:cs="Times New Roman"/>
                <w:szCs w:val="21"/>
              </w:rPr>
              <w:t>对本项目四项创新点均有创造性贡献。揭示了IS后神经损伤的部分关键调控机制，发现了以GLP-1/ IGF-1R为核心的神经保护机制，率先将编织型支架用于颅内动脉狭窄/闭塞病变的介入手术中，在西北地区建立并推广了一系列治疗新策略。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88"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李明凯</w:t>
            </w:r>
          </w:p>
        </w:tc>
        <w:tc>
          <w:tcPr>
            <w:tcW w:w="667"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2</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教研室</w:t>
            </w:r>
          </w:p>
          <w:p>
            <w:pPr>
              <w:jc w:val="center"/>
              <w:rPr>
                <w:rFonts w:ascii="Times New Roman" w:hAnsi="Times New Roman" w:eastAsia="仿宋_GB2312" w:cs="Times New Roman"/>
                <w:szCs w:val="21"/>
              </w:rPr>
            </w:pPr>
            <w:r>
              <w:rPr>
                <w:rFonts w:ascii="Times New Roman" w:hAnsi="Times New Roman" w:eastAsia="仿宋_GB2312" w:cs="Times New Roman"/>
                <w:szCs w:val="21"/>
              </w:rPr>
              <w:t>主任</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副教授</w:t>
            </w:r>
          </w:p>
        </w:tc>
        <w:tc>
          <w:tcPr>
            <w:tcW w:w="1275"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中国人民解放军空军军医大学药学系</w:t>
            </w:r>
          </w:p>
        </w:tc>
        <w:tc>
          <w:tcPr>
            <w:tcW w:w="1276"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2528" w:type="dxa"/>
            <w:vAlign w:val="center"/>
          </w:tcPr>
          <w:p>
            <w:pPr>
              <w:rPr>
                <w:rFonts w:ascii="Times New Roman" w:hAnsi="Times New Roman" w:eastAsia="仿宋_GB2312" w:cs="Times New Roman"/>
                <w:szCs w:val="21"/>
              </w:rPr>
            </w:pPr>
            <w:r>
              <w:rPr>
                <w:rFonts w:ascii="Times New Roman" w:hAnsi="Times New Roman" w:eastAsia="仿宋_GB2312" w:cs="Times New Roman"/>
                <w:szCs w:val="21"/>
              </w:rPr>
              <w:t>对本项目创新点二、三作出了重要贡献。揭示了神经元凋亡参与脑缺血/再灌注损伤的部分机制，阐明了MASA耐药性的分子机制，合成了具有抗MASA活性的靶向化合物。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88"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马雪</w:t>
            </w:r>
          </w:p>
        </w:tc>
        <w:tc>
          <w:tcPr>
            <w:tcW w:w="667"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3</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教研室</w:t>
            </w:r>
          </w:p>
          <w:p>
            <w:pPr>
              <w:jc w:val="center"/>
              <w:rPr>
                <w:rFonts w:ascii="Times New Roman" w:hAnsi="Times New Roman" w:eastAsia="仿宋_GB2312" w:cs="Times New Roman"/>
                <w:szCs w:val="21"/>
              </w:rPr>
            </w:pPr>
            <w:r>
              <w:rPr>
                <w:rFonts w:ascii="Times New Roman" w:hAnsi="Times New Roman" w:eastAsia="仿宋_GB2312" w:cs="Times New Roman"/>
                <w:szCs w:val="21"/>
              </w:rPr>
              <w:t>副主任</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副教授</w:t>
            </w:r>
          </w:p>
        </w:tc>
        <w:tc>
          <w:tcPr>
            <w:tcW w:w="1275"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中国人民解放军空军军医大学药学系</w:t>
            </w:r>
          </w:p>
        </w:tc>
        <w:tc>
          <w:tcPr>
            <w:tcW w:w="1276"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2528" w:type="dxa"/>
            <w:vAlign w:val="center"/>
          </w:tcPr>
          <w:p>
            <w:pPr>
              <w:rPr>
                <w:rFonts w:ascii="Times New Roman" w:hAnsi="Times New Roman" w:eastAsia="仿宋_GB2312" w:cs="Times New Roman"/>
                <w:szCs w:val="21"/>
              </w:rPr>
            </w:pPr>
            <w:r>
              <w:rPr>
                <w:rFonts w:ascii="Times New Roman" w:hAnsi="Times New Roman" w:eastAsia="仿宋_GB2312" w:cs="Times New Roman"/>
                <w:szCs w:val="21"/>
              </w:rPr>
              <w:t>对本项目创新点二、三作出了重要贡献。阐明以GLP-1/GLP-1R/IGF-1R为核心的脑缺血/再灌注后神经保护信号通路。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888"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戴舒惠</w:t>
            </w:r>
          </w:p>
        </w:tc>
        <w:tc>
          <w:tcPr>
            <w:tcW w:w="667"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4</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无</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主治医师</w:t>
            </w:r>
          </w:p>
        </w:tc>
        <w:tc>
          <w:tcPr>
            <w:tcW w:w="1275"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中国人民解放军空军军医大学第一附属医院</w:t>
            </w:r>
          </w:p>
        </w:tc>
        <w:tc>
          <w:tcPr>
            <w:tcW w:w="1276"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2528" w:type="dxa"/>
            <w:vAlign w:val="center"/>
          </w:tcPr>
          <w:p>
            <w:pPr>
              <w:rPr>
                <w:rFonts w:ascii="Times New Roman" w:hAnsi="Times New Roman" w:eastAsia="仿宋_GB2312" w:cs="Times New Roman"/>
                <w:szCs w:val="21"/>
              </w:rPr>
            </w:pPr>
            <w:r>
              <w:rPr>
                <w:rFonts w:ascii="Times New Roman" w:hAnsi="Times New Roman" w:eastAsia="仿宋_GB2312" w:cs="Times New Roman"/>
                <w:szCs w:val="21"/>
              </w:rPr>
              <w:t>对本项目创新点一作出了重要贡献。揭示了胶质细胞炎症反应在IS后神经损伤中的部分关键机制。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88"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张慧楠</w:t>
            </w:r>
          </w:p>
        </w:tc>
        <w:tc>
          <w:tcPr>
            <w:tcW w:w="667"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5</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无</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讲师</w:t>
            </w:r>
          </w:p>
        </w:tc>
        <w:tc>
          <w:tcPr>
            <w:tcW w:w="1275"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中国人民解放军空军军医大学第二附属医院</w:t>
            </w:r>
          </w:p>
        </w:tc>
        <w:tc>
          <w:tcPr>
            <w:tcW w:w="1276"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2528" w:type="dxa"/>
            <w:vAlign w:val="center"/>
          </w:tcPr>
          <w:p>
            <w:pPr>
              <w:rPr>
                <w:rFonts w:ascii="Times New Roman" w:hAnsi="Times New Roman" w:eastAsia="仿宋_GB2312" w:cs="Times New Roman"/>
                <w:szCs w:val="21"/>
              </w:rPr>
            </w:pPr>
            <w:r>
              <w:rPr>
                <w:rFonts w:ascii="Times New Roman" w:hAnsi="Times New Roman" w:eastAsia="仿宋_GB2312" w:cs="Times New Roman"/>
                <w:szCs w:val="21"/>
              </w:rPr>
              <w:t>对本项目创新点一、二作出了重要贡献。阐明了神经元凋亡参与I/R后神经损伤的关键分子机制，合成了能够释放GLP-1的前体多肽化合物，验证了Ex-4等2种药物的给药途径和体内外活性。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88"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王娟</w:t>
            </w:r>
          </w:p>
        </w:tc>
        <w:tc>
          <w:tcPr>
            <w:tcW w:w="667"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6</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护士长</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主管护师</w:t>
            </w:r>
          </w:p>
        </w:tc>
        <w:tc>
          <w:tcPr>
            <w:tcW w:w="1275"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中国人民解放军空军军医大学第一附属医院</w:t>
            </w:r>
          </w:p>
        </w:tc>
        <w:tc>
          <w:tcPr>
            <w:tcW w:w="1276"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2528" w:type="dxa"/>
            <w:vAlign w:val="center"/>
          </w:tcPr>
          <w:p>
            <w:pPr>
              <w:rPr>
                <w:rFonts w:ascii="Times New Roman" w:hAnsi="Times New Roman" w:eastAsia="仿宋_GB2312" w:cs="Times New Roman"/>
                <w:szCs w:val="21"/>
              </w:rPr>
            </w:pPr>
            <w:r>
              <w:rPr>
                <w:rFonts w:ascii="Times New Roman" w:hAnsi="Times New Roman" w:eastAsia="仿宋_GB2312" w:cs="Times New Roman"/>
                <w:szCs w:val="21"/>
              </w:rPr>
              <w:t>对本项目创新点四作出了重要贡献。完善了颅内动脉狭窄或闭塞性病变、颈动脉闭塞性病变的围术期治疗方案。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888"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张磊</w:t>
            </w:r>
          </w:p>
        </w:tc>
        <w:tc>
          <w:tcPr>
            <w:tcW w:w="667"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7</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实验室</w:t>
            </w:r>
          </w:p>
          <w:p>
            <w:pPr>
              <w:jc w:val="center"/>
              <w:rPr>
                <w:rFonts w:ascii="Times New Roman" w:hAnsi="Times New Roman" w:eastAsia="仿宋_GB2312" w:cs="Times New Roman"/>
                <w:szCs w:val="21"/>
              </w:rPr>
            </w:pPr>
            <w:r>
              <w:rPr>
                <w:rFonts w:ascii="Times New Roman" w:hAnsi="Times New Roman" w:eastAsia="仿宋_GB2312" w:cs="Times New Roman"/>
                <w:szCs w:val="21"/>
              </w:rPr>
              <w:t>主任</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讲师</w:t>
            </w:r>
          </w:p>
        </w:tc>
        <w:tc>
          <w:tcPr>
            <w:tcW w:w="1275"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中国人民解放军空军军医大学第一附属医院</w:t>
            </w:r>
          </w:p>
        </w:tc>
        <w:tc>
          <w:tcPr>
            <w:tcW w:w="1276"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2528" w:type="dxa"/>
            <w:vAlign w:val="center"/>
          </w:tcPr>
          <w:p>
            <w:pPr>
              <w:rPr>
                <w:rFonts w:ascii="Times New Roman" w:hAnsi="Times New Roman" w:eastAsia="仿宋_GB2312" w:cs="Times New Roman"/>
                <w:szCs w:val="21"/>
              </w:rPr>
            </w:pPr>
            <w:r>
              <w:rPr>
                <w:rFonts w:ascii="Times New Roman" w:hAnsi="Times New Roman" w:eastAsia="仿宋_GB2312" w:cs="Times New Roman"/>
                <w:szCs w:val="21"/>
              </w:rPr>
              <w:t>对本项目创新点一、四作出了重要贡献。揭示了胶质细胞炎症反应在IS后神经损伤中的分子机制，研发了手术预案相关的计算机软件。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88"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王钧</w:t>
            </w:r>
          </w:p>
        </w:tc>
        <w:tc>
          <w:tcPr>
            <w:tcW w:w="667"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8</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无</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医师</w:t>
            </w:r>
          </w:p>
        </w:tc>
        <w:tc>
          <w:tcPr>
            <w:tcW w:w="1275"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中国人民解放军空军军医大学第一附属医院</w:t>
            </w:r>
          </w:p>
        </w:tc>
        <w:tc>
          <w:tcPr>
            <w:tcW w:w="1276"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2528" w:type="dxa"/>
            <w:vAlign w:val="center"/>
          </w:tcPr>
          <w:p>
            <w:pPr>
              <w:rPr>
                <w:rFonts w:ascii="Times New Roman" w:hAnsi="Times New Roman" w:eastAsia="仿宋_GB2312" w:cs="Times New Roman"/>
                <w:szCs w:val="21"/>
              </w:rPr>
            </w:pPr>
            <w:r>
              <w:rPr>
                <w:rFonts w:ascii="Times New Roman" w:hAnsi="Times New Roman" w:eastAsia="仿宋_GB2312" w:cs="Times New Roman"/>
                <w:szCs w:val="21"/>
              </w:rPr>
              <w:t>对本项目创新点一做出较大贡献。揭示了IS后神经损伤的部分关键机制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88"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黄婧</w:t>
            </w:r>
          </w:p>
        </w:tc>
        <w:tc>
          <w:tcPr>
            <w:tcW w:w="667"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9</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科室</w:t>
            </w:r>
          </w:p>
          <w:p>
            <w:pPr>
              <w:jc w:val="center"/>
              <w:rPr>
                <w:rFonts w:ascii="Times New Roman" w:hAnsi="Times New Roman" w:eastAsia="仿宋_GB2312" w:cs="Times New Roman"/>
                <w:szCs w:val="21"/>
              </w:rPr>
            </w:pPr>
            <w:r>
              <w:rPr>
                <w:rFonts w:ascii="Times New Roman" w:hAnsi="Times New Roman" w:eastAsia="仿宋_GB2312" w:cs="Times New Roman"/>
                <w:szCs w:val="21"/>
              </w:rPr>
              <w:t>主任</w:t>
            </w:r>
          </w:p>
        </w:tc>
        <w:tc>
          <w:tcPr>
            <w:tcW w:w="1134"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讲师</w:t>
            </w:r>
          </w:p>
        </w:tc>
        <w:tc>
          <w:tcPr>
            <w:tcW w:w="1275"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中国人民解放军空军军医大学第二附属医院</w:t>
            </w:r>
          </w:p>
        </w:tc>
        <w:tc>
          <w:tcPr>
            <w:tcW w:w="1276"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2528" w:type="dxa"/>
            <w:vAlign w:val="center"/>
          </w:tcPr>
          <w:p>
            <w:pPr>
              <w:rPr>
                <w:rFonts w:ascii="Times New Roman" w:hAnsi="Times New Roman" w:eastAsia="仿宋_GB2312" w:cs="Times New Roman"/>
                <w:szCs w:val="21"/>
              </w:rPr>
            </w:pPr>
            <w:r>
              <w:rPr>
                <w:rFonts w:ascii="Times New Roman" w:hAnsi="Times New Roman" w:eastAsia="仿宋_GB2312" w:cs="Times New Roman"/>
                <w:szCs w:val="21"/>
              </w:rPr>
              <w:t>对本项目创新点二作出较大贡献。阐明了GLP-1R参与I/R后神经保护的关键分子机制。</w:t>
            </w:r>
          </w:p>
        </w:tc>
      </w:tr>
    </w:tbl>
    <w:p>
      <w:pPr>
        <w:rPr>
          <w:rFonts w:ascii="Times New Roman" w:hAnsi="Times New Roman" w:eastAsia="仿宋_GB2312" w:cs="Times New Roman"/>
          <w:sz w:val="32"/>
        </w:rPr>
      </w:pPr>
    </w:p>
    <w:p>
      <w:pPr>
        <w:rPr>
          <w:rFonts w:ascii="Times New Roman" w:hAnsi="Times New Roman" w:eastAsia="仿宋_GB2312" w:cs="Times New Roman"/>
          <w:sz w:val="32"/>
        </w:rPr>
      </w:pPr>
      <w:r>
        <w:rPr>
          <w:rFonts w:ascii="Times New Roman" w:hAnsi="Times New Roman" w:eastAsia="仿宋_GB2312" w:cs="Times New Roman"/>
          <w:sz w:val="32"/>
        </w:rPr>
        <w:t>三、主要完成单位及创新推广贡献</w:t>
      </w:r>
    </w:p>
    <w:p>
      <w:pPr>
        <w:ind w:firstLine="640" w:firstLineChars="200"/>
        <w:rPr>
          <w:rFonts w:ascii="Times New Roman" w:hAnsi="Times New Roman" w:eastAsia="仿宋_GB2312" w:cs="Times New Roman"/>
          <w:sz w:val="32"/>
        </w:rPr>
      </w:pPr>
      <w:r>
        <w:rPr>
          <w:rFonts w:ascii="Times New Roman" w:hAnsi="Times New Roman" w:eastAsia="仿宋_GB2312" w:cs="Times New Roman"/>
          <w:sz w:val="32"/>
        </w:rPr>
        <w:t>完成单位：中国人民解放军空军军医大学</w:t>
      </w:r>
    </w:p>
    <w:p>
      <w:pPr>
        <w:ind w:firstLine="640" w:firstLineChars="200"/>
        <w:rPr>
          <w:rFonts w:ascii="Times New Roman" w:hAnsi="Times New Roman" w:eastAsia="仿宋_GB2312" w:cs="Times New Roman"/>
          <w:sz w:val="32"/>
        </w:rPr>
      </w:pPr>
      <w:r>
        <w:rPr>
          <w:rFonts w:ascii="Times New Roman" w:hAnsi="Times New Roman" w:eastAsia="仿宋_GB2312" w:cs="Times New Roman"/>
          <w:sz w:val="32"/>
        </w:rPr>
        <w:t>首次发现小胶质细胞M1型活化诱导神经损伤的新机制，证实了组蛋白去甲基化分子JMJD3是神经细胞凋亡的关键调控因子，验证了STIM1介导细胞内钙离子稳态调控对脑缺血后神经元存活及神经功能转归的关键作用；揭示了神经元凋亡和胶质细胞炎症反应参与脑缺血/再灌注损伤的关键分子机制，研发了具有神经保护作用和抗MASA感染效应的靶向治疗化合物；阐明了神经元凋亡参与I/R后神经损伤的关键分子机制，阐明了以GLP-1/GLP-1R/IGF-1R为核心的脑缺血/再灌注后神经保护信号通路，研发了Pro-GLP-1、DMB和Ex-4等三种候选神经保护药物；率先将编织型支架用于颅内动脉狭窄/闭塞病变的介入手术并建立围术期治疗新策略，在西北地区创新性开展并推广一系列血管介入手术新策略。</w:t>
      </w:r>
    </w:p>
    <w:p>
      <w:pPr>
        <w:rPr>
          <w:rFonts w:ascii="Times New Roman" w:hAnsi="Times New Roman" w:eastAsia="仿宋_GB2312" w:cs="Times New Roman"/>
          <w:sz w:val="32"/>
        </w:rPr>
      </w:pPr>
    </w:p>
    <w:p>
      <w:pPr>
        <w:rPr>
          <w:rFonts w:ascii="Times New Roman" w:hAnsi="Times New Roman" w:eastAsia="仿宋_GB2312" w:cs="Times New Roman"/>
          <w:sz w:val="32"/>
        </w:rPr>
      </w:pPr>
      <w:r>
        <w:rPr>
          <w:rFonts w:ascii="Times New Roman" w:hAnsi="Times New Roman" w:eastAsia="仿宋_GB2312" w:cs="Times New Roman"/>
          <w:sz w:val="32"/>
        </w:rPr>
        <w:t>四、提名者</w:t>
      </w:r>
    </w:p>
    <w:p>
      <w:pPr>
        <w:ind w:firstLine="640" w:firstLineChars="200"/>
        <w:rPr>
          <w:rFonts w:ascii="Times New Roman" w:hAnsi="Times New Roman" w:eastAsia="仿宋_GB2312" w:cs="Times New Roman"/>
          <w:sz w:val="32"/>
        </w:rPr>
      </w:pPr>
      <w:r>
        <w:rPr>
          <w:rFonts w:ascii="Times New Roman" w:hAnsi="Times New Roman" w:eastAsia="仿宋_GB2312" w:cs="Times New Roman"/>
          <w:sz w:val="32"/>
        </w:rPr>
        <w:t>提名单位：陕西省卫生健康委员会</w:t>
      </w:r>
    </w:p>
    <w:p>
      <w:pPr>
        <w:rPr>
          <w:rFonts w:ascii="Times New Roman" w:hAnsi="Times New Roman" w:eastAsia="仿宋_GB2312" w:cs="Times New Roman"/>
          <w:sz w:val="32"/>
        </w:rPr>
      </w:pPr>
    </w:p>
    <w:p>
      <w:pPr>
        <w:rPr>
          <w:rFonts w:ascii="Times New Roman" w:hAnsi="Times New Roman" w:eastAsia="仿宋_GB2312" w:cs="Times New Roman"/>
          <w:sz w:val="32"/>
        </w:rPr>
      </w:pPr>
      <w:r>
        <w:rPr>
          <w:rFonts w:ascii="Times New Roman" w:hAnsi="Times New Roman" w:eastAsia="仿宋_GB2312" w:cs="Times New Roman"/>
          <w:sz w:val="32"/>
        </w:rPr>
        <w:t>五、提名意见</w:t>
      </w:r>
    </w:p>
    <w:p>
      <w:pPr>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lang w:val="en-US" w:eastAsia="zh-CN"/>
        </w:rPr>
        <w:t>拟</w:t>
      </w:r>
      <w:r>
        <w:rPr>
          <w:rFonts w:ascii="Times New Roman" w:hAnsi="Times New Roman" w:eastAsia="仿宋_GB2312" w:cs="Times New Roman"/>
          <w:sz w:val="32"/>
        </w:rPr>
        <w:t>提名2022年度陕西省科技进步奖</w:t>
      </w:r>
      <w:bookmarkStart w:id="1" w:name="_GoBack"/>
      <w:bookmarkEnd w:id="1"/>
      <w:r>
        <w:rPr>
          <w:rFonts w:ascii="Times New Roman" w:hAnsi="Times New Roman" w:eastAsia="仿宋_GB2312" w:cs="Times New Roman"/>
          <w:sz w:val="32"/>
        </w:rPr>
        <w:t>。</w:t>
      </w:r>
    </w:p>
    <w:p>
      <w:pPr>
        <w:widowControl/>
        <w:jc w:val="left"/>
        <w:rPr>
          <w:rFonts w:ascii="Times New Roman" w:hAnsi="Times New Roman" w:eastAsia="仿宋_GB2312" w:cs="Times New Roman"/>
          <w:sz w:val="32"/>
        </w:rPr>
      </w:pPr>
      <w:r>
        <w:rPr>
          <w:rFonts w:ascii="Times New Roman" w:hAnsi="Times New Roman" w:eastAsia="仿宋_GB2312" w:cs="Times New Roman"/>
          <w:sz w:val="32"/>
        </w:rPr>
        <w:br w:type="page"/>
      </w:r>
    </w:p>
    <w:p>
      <w:pPr>
        <w:rPr>
          <w:rFonts w:ascii="Times New Roman" w:hAnsi="Times New Roman" w:eastAsia="仿宋_GB2312" w:cs="Times New Roman"/>
          <w:sz w:val="32"/>
        </w:rPr>
      </w:pPr>
      <w:r>
        <w:rPr>
          <w:rFonts w:ascii="Times New Roman" w:hAnsi="Times New Roman" w:eastAsia="仿宋_GB2312" w:cs="Times New Roman"/>
          <w:sz w:val="32"/>
        </w:rPr>
        <w:t>六、项目简介</w:t>
      </w:r>
    </w:p>
    <w:p>
      <w:pPr>
        <w:ind w:firstLine="480" w:firstLineChars="200"/>
        <w:rPr>
          <w:rFonts w:ascii="Times New Roman" w:hAnsi="Times New Roman" w:eastAsia="仿宋_GB2312" w:cs="Times New Roman"/>
          <w:bCs/>
          <w:sz w:val="24"/>
          <w:szCs w:val="24"/>
        </w:rPr>
      </w:pPr>
      <w:r>
        <w:rPr>
          <w:rFonts w:ascii="Times New Roman" w:hAnsi="Times New Roman" w:eastAsia="仿宋_GB2312" w:cs="Times New Roman"/>
          <w:bCs/>
          <w:sz w:val="24"/>
          <w:szCs w:val="24"/>
        </w:rPr>
        <w:t>在我国，脑卒中发病率以每年9%的速率递增，成为国民第一位死因。脑卒中分为出血性和缺血性卒中（ischemic stroke，IS）两大类，其中IS占比超过75%。近年，IS诊疗水平虽有所提升，但患者总体预后并不乐观，制约IS防治的主要难题包括：（1）脑缺血/再灌注（ischemia/reperfusion，I/R）损伤机制复杂，治疗靶点不清；（2）全身继发性损害多样，发生和致害机理不清，防治效果差；（3）急性或复杂病变风险高，血管内手术技术和围术期治疗尚需规范和完善。完成人团队针对上述问题，历经15年，在8项国家和省级课题支持下，着力从机制探索发现、靶点药物筛选、继发损害防治、手术策略创新等几个方面开展深入研究，取得一系列创新成果：</w:t>
      </w:r>
    </w:p>
    <w:p>
      <w:pPr>
        <w:ind w:firstLine="480" w:firstLineChars="200"/>
        <w:rPr>
          <w:rFonts w:ascii="Times New Roman" w:hAnsi="Times New Roman" w:eastAsia="仿宋_GB2312" w:cs="Times New Roman"/>
          <w:bCs/>
          <w:sz w:val="24"/>
          <w:szCs w:val="24"/>
        </w:rPr>
      </w:pPr>
      <w:r>
        <w:rPr>
          <w:rFonts w:ascii="Times New Roman" w:hAnsi="Times New Roman" w:eastAsia="仿宋_GB2312" w:cs="Times New Roman"/>
          <w:bCs/>
          <w:sz w:val="24"/>
          <w:szCs w:val="24"/>
        </w:rPr>
        <w:t>科技创新一、针对IS后神经损伤机理不清的困局，揭示了相关的部分关键调控机制，合成了两种能够减轻神经损伤的小分子化合物。</w:t>
      </w:r>
    </w:p>
    <w:p>
      <w:pPr>
        <w:ind w:firstLine="480" w:firstLineChars="200"/>
        <w:rPr>
          <w:rFonts w:ascii="Times New Roman" w:hAnsi="Times New Roman" w:eastAsia="仿宋_GB2312" w:cs="Times New Roman"/>
          <w:bCs/>
          <w:sz w:val="24"/>
          <w:szCs w:val="24"/>
        </w:rPr>
      </w:pPr>
      <w:r>
        <w:rPr>
          <w:rFonts w:ascii="Times New Roman" w:hAnsi="Times New Roman" w:eastAsia="仿宋_GB2312" w:cs="Times New Roman"/>
          <w:bCs/>
          <w:sz w:val="24"/>
          <w:szCs w:val="24"/>
        </w:rPr>
        <w:t>神经细胞凋亡是IS后神经损伤的重要过程，受胶质细胞炎性反应调控，但机制不清。我们通过大脑中动脉栓塞/再灌注（middle cerebral artery occlusion/reperfusion，MCAO/R）模型的体内实验和小胶质细胞氧糖剥夺/复氧（oxygen glucose deprivation/reoxygenation, OGD/R）模型的体外实验揭示了IS后基质相互作用分子1（stromal interaction molecule 1, STIM1）通过触发钙池操纵性钙内流（store-operated Ca2+ entry, SOCE）引起内质网应激，诱导小胶质细胞M1型活化，加重神经损伤的新机制；证实了组蛋白去甲基化分子JMJD3是神经细胞凋亡的关键调控因子，其作用依赖于p53的协同作用。此外，我们在发现核因子-e2相关因子2（nuclear factor-e2-related factor 2，Nrf2）和C-Jun N端激酶JNK/细胞外调节蛋白ERK参与I/R后神经元线粒体损伤的基础上，合成了靶向Nrf2的化合物3，3’-（3-甲氧基）-双-4-羟基香豆素和靶向JNK/ERK的3，3′-（3-三氟甲基-4-氯苯亚甲基）-双-4-羟基香豆素，这两种小分子化合物可以显著减轻IS后神经损伤。成果授权发明专利2项；发表Exp Neurol、Am J Physiol Cell Physiol等权威期刊SCI论文8篇，获评陕西省“高层次人才特殊支持计划”科技创新领军人才和陕西省药理学会优秀论文一等奖。</w:t>
      </w:r>
    </w:p>
    <w:p>
      <w:pPr>
        <w:ind w:firstLine="480" w:firstLineChars="200"/>
        <w:rPr>
          <w:rFonts w:ascii="Times New Roman" w:hAnsi="Times New Roman" w:eastAsia="仿宋_GB2312" w:cs="Times New Roman"/>
          <w:bCs/>
          <w:sz w:val="24"/>
          <w:szCs w:val="24"/>
        </w:rPr>
      </w:pPr>
      <w:r>
        <w:rPr>
          <w:rFonts w:ascii="Times New Roman" w:hAnsi="Times New Roman" w:eastAsia="仿宋_GB2312" w:cs="Times New Roman"/>
          <w:bCs/>
          <w:sz w:val="24"/>
          <w:szCs w:val="24"/>
        </w:rPr>
        <w:t>科技创新二、针对IS后有效神经保护治疗匮乏的问题，发现了以胰高血糖素样肽-1（Glucagon-like peptide-1，GLP-1）/胰岛素样生长因子-1受体（Insulin-like growth factor-1 receptor，IGF-1R）为核心的神经保护机制，研发了三种具有显著神经保护作用的候选药物。</w:t>
      </w:r>
    </w:p>
    <w:p>
      <w:pPr>
        <w:ind w:firstLine="480" w:firstLineChars="200"/>
        <w:rPr>
          <w:rFonts w:ascii="Times New Roman" w:hAnsi="Times New Roman" w:eastAsia="仿宋_GB2312" w:cs="Times New Roman"/>
          <w:bCs/>
          <w:sz w:val="24"/>
          <w:szCs w:val="24"/>
        </w:rPr>
      </w:pPr>
      <w:r>
        <w:rPr>
          <w:rFonts w:ascii="Times New Roman" w:hAnsi="Times New Roman" w:eastAsia="仿宋_GB2312" w:cs="Times New Roman"/>
          <w:bCs/>
          <w:sz w:val="24"/>
          <w:szCs w:val="24"/>
        </w:rPr>
        <w:t>GLP-1是一种内源性肠道激素，应激条件下发挥神经保护功能，但由于在体内分泌后迅速降解，其对于IS的作用仍存在争议，临床应用也受到限制。我们发现了以GLP-1/IGF-1R为核心分子，通过抑制星形胶质细胞炎性反应诱导神经保护作用的新机制；而且，研发了Pro-GLP-1、喹喔啉类化合物DMB和艾塞那肽（Exendin-4，Ex-4）等三种候选神经保护药物，证实了口服DMB和经鼻给药Ex-4的明确药理作用。成果授权发明专利1项，发表Eur J Pharm Sci 等权威期刊SCI论文8篇，获评中国药学会第十三届青年药学科研成果和陕西省药理学会优秀论文三等奖。</w:t>
      </w:r>
    </w:p>
    <w:p>
      <w:pPr>
        <w:ind w:firstLine="480" w:firstLineChars="200"/>
        <w:rPr>
          <w:rFonts w:ascii="Times New Roman" w:hAnsi="Times New Roman" w:eastAsia="仿宋_GB2312" w:cs="Times New Roman"/>
          <w:bCs/>
          <w:sz w:val="24"/>
          <w:szCs w:val="24"/>
        </w:rPr>
      </w:pPr>
      <w:r>
        <w:rPr>
          <w:rFonts w:ascii="Times New Roman" w:hAnsi="Times New Roman" w:eastAsia="仿宋_GB2312" w:cs="Times New Roman"/>
          <w:bCs/>
          <w:sz w:val="24"/>
          <w:szCs w:val="24"/>
        </w:rPr>
        <w:t>科技创新三、针对IS后继发性损害防治难的问题，首次阐明了导管相关性耐甲氧西林金黄色葡萄球菌（methicillin-resistant staphylococcus aureus，MRSA）感染的发生机制，合成了具有抗MRSA和血糖调控药理活性的两种香豆素类化合物。</w:t>
      </w:r>
    </w:p>
    <w:p>
      <w:pPr>
        <w:ind w:firstLine="480" w:firstLineChars="200"/>
        <w:rPr>
          <w:rFonts w:ascii="Times New Roman" w:hAnsi="Times New Roman" w:eastAsia="仿宋_GB2312" w:cs="Times New Roman"/>
          <w:bCs/>
          <w:sz w:val="24"/>
          <w:szCs w:val="24"/>
        </w:rPr>
      </w:pPr>
      <w:r>
        <w:rPr>
          <w:rFonts w:ascii="Times New Roman" w:hAnsi="Times New Roman" w:eastAsia="仿宋_GB2312" w:cs="Times New Roman"/>
          <w:bCs/>
          <w:sz w:val="24"/>
          <w:szCs w:val="24"/>
        </w:rPr>
        <w:t>导管相关性MRSA感染和糖代谢紊乱是影响IS预后的重要继发性损害，但其发生和致害机制尚不清楚。我们首次揭示了精氨酸阻遏子ArgR基因依赖精氨酸分解代谢途径调控MRSA生物膜形成的关键机制，并针对特定靶点合成了新型 3，3'-（3，4-二氯苄叉）-双-4-羟基香豆素化合物（DCH），证实腹腔注射DCH可将MRSA感染小鼠的存活率提高56%~67%，灌胃治疗可提高感染小鼠的存活率33%~67%。此外，在合成的667种小分子化合物中，我们筛选出了3，3'-（3-甲氧基苄基）-双-（4-羟基香豆素），证实其对于IS后糖脂代谢具有显著影响，可有效抑制高脂饮食诱导的肝脏糖异生限速酶上调和空腹血糖上升，改善卒中后认知功能。成果授权2项发明专利，主编专著1部，发表包括Science Advances等杂志SCI论文7篇，最高IF为14.136。</w:t>
      </w:r>
    </w:p>
    <w:p>
      <w:pPr>
        <w:ind w:firstLine="480" w:firstLineChars="200"/>
        <w:rPr>
          <w:rFonts w:ascii="Times New Roman" w:hAnsi="Times New Roman" w:eastAsia="仿宋_GB2312" w:cs="Times New Roman"/>
          <w:bCs/>
          <w:sz w:val="24"/>
          <w:szCs w:val="24"/>
        </w:rPr>
      </w:pPr>
      <w:r>
        <w:rPr>
          <w:rFonts w:ascii="Times New Roman" w:hAnsi="Times New Roman" w:eastAsia="仿宋_GB2312" w:cs="Times New Roman"/>
          <w:bCs/>
          <w:sz w:val="24"/>
          <w:szCs w:val="24"/>
        </w:rPr>
        <w:t>科技创新四、针对急性或复杂病变手术技术和围术期治疗存争议、待规范的问题，率先将编织型支架用于颅内动脉狭窄/闭塞病变的介入手术中，通过静脉窦支架成形术治疗缺血性卒中伴发的颅内静脉窦狭窄后良性高颅压症，在西北地区建立并推广了一系列治疗新策略。</w:t>
      </w:r>
    </w:p>
    <w:p>
      <w:pPr>
        <w:ind w:firstLine="480" w:firstLineChars="200"/>
        <w:rPr>
          <w:rFonts w:ascii="Times New Roman" w:hAnsi="Times New Roman" w:eastAsia="仿宋_GB2312" w:cs="Times New Roman"/>
          <w:sz w:val="32"/>
        </w:rPr>
      </w:pPr>
      <w:r>
        <w:rPr>
          <w:rFonts w:ascii="Times New Roman" w:hAnsi="Times New Roman" w:eastAsia="仿宋_GB2312" w:cs="Times New Roman"/>
          <w:bCs/>
          <w:sz w:val="24"/>
          <w:szCs w:val="24"/>
        </w:rPr>
        <w:t>颅内动脉狭窄/闭塞是我国患者发生IS的主要原因，球囊扩张并支架成形术是主要的治疗方法。目前，临床所用的血管支架以激光雕刻型支架为主，但存在扩张球囊规格受限、术后残余狭窄重、远期再狭窄率高等问题。基于此，我们建立了直径阶梯递增的序贯球囊扩张法和围术期抗血小板治疗策略，并开创性地将编织型支架用于该类患者的手术治疗中，术后即刻血管狭窄率</w:t>
      </w:r>
      <w:r>
        <w:rPr>
          <w:rFonts w:hint="eastAsia" w:ascii="Times New Roman" w:eastAsia="仿宋_GB2312" w:cs="Times New Roman"/>
          <w:bCs/>
          <w:szCs w:val="24"/>
        </w:rPr>
        <w:t>下降</w:t>
      </w:r>
      <w:r>
        <w:rPr>
          <w:rFonts w:ascii="Times New Roman" w:hAnsi="Times New Roman" w:eastAsia="仿宋_GB2312" w:cs="Times New Roman"/>
          <w:bCs/>
          <w:sz w:val="24"/>
          <w:szCs w:val="24"/>
        </w:rPr>
        <w:t>12.4%，6月时支架内再狭窄率为7.8%，显著优于激光雕刻型支架。针对伴发于IS的颅内静脉窦狭窄性良性高颅压症治疗困难的问题，我们通过静脉窦球囊扩张并支架成形术结合标准化抗凝治疗，取得显著效果，患者180天mRS评分较保守治疗组降低1.1分；此外，还在西北地区推广复合手术治疗颈动脉闭塞性病变，动脉开通率达到90%。成果授权软件著作权2项，发表中文论文12篇，主译专著1部，相关经验被写入《急性大血管闭塞性缺血性卒中血管内治疗中国专家共识》等四部中国专家共识，团队被评为陕西省《脑卒中关键病理机制和临床救治新技术科技创新团队》。</w:t>
      </w:r>
    </w:p>
    <w:p>
      <w:pPr>
        <w:widowControl/>
        <w:jc w:val="left"/>
        <w:rPr>
          <w:rFonts w:ascii="Times New Roman" w:hAnsi="Times New Roman" w:eastAsia="仿宋_GB2312" w:cs="Times New Roman"/>
          <w:sz w:val="32"/>
        </w:rPr>
      </w:pPr>
      <w:r>
        <w:rPr>
          <w:rFonts w:ascii="Times New Roman" w:hAnsi="Times New Roman" w:eastAsia="仿宋_GB2312" w:cs="Times New Roman"/>
          <w:sz w:val="32"/>
        </w:rPr>
        <w:br w:type="page"/>
      </w:r>
    </w:p>
    <w:p>
      <w:pPr>
        <w:widowControl/>
        <w:jc w:val="left"/>
        <w:rPr>
          <w:rFonts w:ascii="Times New Roman" w:hAnsi="Times New Roman" w:eastAsia="仿宋_GB2312" w:cs="Times New Roman"/>
          <w:sz w:val="32"/>
        </w:rPr>
      </w:pPr>
      <w:r>
        <w:rPr>
          <w:rFonts w:ascii="Times New Roman" w:hAnsi="Times New Roman" w:eastAsia="仿宋_GB2312" w:cs="Times New Roman"/>
          <w:sz w:val="32"/>
        </w:rPr>
        <w:t>七、客观评价</w:t>
      </w:r>
    </w:p>
    <w:p>
      <w:pPr>
        <w:ind w:firstLine="480" w:firstLineChars="200"/>
        <w:jc w:val="left"/>
        <w:rPr>
          <w:rFonts w:ascii="Times New Roman" w:hAnsi="Times New Roman" w:eastAsia="仿宋_GB2312" w:cs="Times New Roman"/>
          <w:bCs/>
          <w:sz w:val="24"/>
          <w:szCs w:val="24"/>
        </w:rPr>
      </w:pPr>
      <w:r>
        <w:rPr>
          <w:rFonts w:ascii="Times New Roman" w:hAnsi="Times New Roman" w:eastAsia="仿宋_GB2312" w:cs="Times New Roman"/>
          <w:bCs/>
          <w:sz w:val="24"/>
          <w:szCs w:val="24"/>
        </w:rPr>
        <w:t>1、国内外知名学者对本项目科技创新成果的引用和评述</w:t>
      </w:r>
    </w:p>
    <w:p>
      <w:pPr>
        <w:ind w:firstLine="480" w:firstLineChars="200"/>
        <w:jc w:val="left"/>
        <w:rPr>
          <w:rFonts w:ascii="Times New Roman" w:hAnsi="Times New Roman" w:eastAsia="仿宋_GB2312" w:cs="Times New Roman"/>
          <w:sz w:val="24"/>
          <w:szCs w:val="24"/>
        </w:rPr>
      </w:pPr>
      <w:r>
        <w:rPr>
          <w:rFonts w:hint="eastAsia" w:ascii="Times New Roman" w:hAnsi="Times New Roman" w:eastAsia="仿宋_GB2312" w:cs="Times New Roman"/>
          <w:bCs/>
          <w:sz w:val="24"/>
          <w:szCs w:val="24"/>
        </w:rPr>
        <w:t>①</w:t>
      </w:r>
      <w:r>
        <w:rPr>
          <w:rFonts w:ascii="Times New Roman" w:hAnsi="Times New Roman" w:eastAsia="仿宋_GB2312" w:cs="Times New Roman"/>
          <w:bCs/>
          <w:sz w:val="24"/>
          <w:szCs w:val="24"/>
        </w:rPr>
        <w:t>中山大学药学院新药成药性评估及评价国家-地方联合工程实验室主任刘培庆教授在其发表于Front Cell Dev Biol（2020 Sep 29; 8: 548605）的论文中引用张慧楠博士关于JMJD3的研究结果，认为“敲除JMJD3能够抑制凋亡信号通路，防止神经元凋亡，预防卒中，这是一个非常重要的发现”。</w:t>
      </w:r>
    </w:p>
    <w:p>
      <w:pPr>
        <w:ind w:firstLine="480" w:firstLineChars="200"/>
        <w:jc w:val="left"/>
        <w:rPr>
          <w:rFonts w:ascii="Times New Roman" w:hAnsi="Times New Roman" w:eastAsia="仿宋_GB2312" w:cs="Times New Roman"/>
          <w:bCs/>
          <w:sz w:val="24"/>
          <w:szCs w:val="24"/>
        </w:rPr>
      </w:pPr>
      <w:r>
        <w:rPr>
          <w:rFonts w:hint="eastAsia" w:ascii="Times New Roman" w:hAnsi="Times New Roman" w:eastAsia="仿宋_GB2312" w:cs="Times New Roman"/>
          <w:bCs/>
          <w:sz w:val="24"/>
          <w:szCs w:val="24"/>
        </w:rPr>
        <w:t>②</w:t>
      </w:r>
      <w:r>
        <w:rPr>
          <w:rFonts w:ascii="Times New Roman" w:hAnsi="Times New Roman" w:eastAsia="仿宋_GB2312" w:cs="Times New Roman"/>
          <w:bCs/>
          <w:sz w:val="24"/>
          <w:szCs w:val="24"/>
        </w:rPr>
        <w:t>德国埃尔朗根-纽伦堡大学神经病学系主任Bobinger T教授发表于Oxid Med Cell Longev（2020 Sep 4; 2020: 3214350）的论文引用戴舒惠博士的研究结果，作为“免疫反应在卒中后继发性脑损伤的发展过程中起决定性作用”这一相关论断的支撑之一。</w:t>
      </w:r>
    </w:p>
    <w:p>
      <w:pPr>
        <w:ind w:firstLine="480" w:firstLineChars="200"/>
        <w:jc w:val="left"/>
        <w:rPr>
          <w:rFonts w:ascii="Times New Roman" w:hAnsi="Times New Roman" w:eastAsia="仿宋_GB2312" w:cs="Times New Roman"/>
          <w:bCs/>
          <w:sz w:val="24"/>
          <w:szCs w:val="24"/>
        </w:rPr>
      </w:pPr>
      <w:r>
        <w:rPr>
          <w:rFonts w:hint="eastAsia" w:ascii="Times New Roman" w:hAnsi="Times New Roman" w:eastAsia="仿宋_GB2312" w:cs="Times New Roman"/>
          <w:bCs/>
          <w:sz w:val="24"/>
          <w:szCs w:val="24"/>
        </w:rPr>
        <w:t>③</w:t>
      </w:r>
      <w:r>
        <w:rPr>
          <w:rFonts w:ascii="Times New Roman" w:hAnsi="Times New Roman" w:eastAsia="仿宋_GB2312" w:cs="Times New Roman"/>
          <w:bCs/>
          <w:sz w:val="24"/>
          <w:szCs w:val="24"/>
        </w:rPr>
        <w:t>美国NIH国立药物滥用研究所Nigel H Greig教授发表于J Neurochem（2021 Dec; 159: 867-886）的论文中引用黄婧博士的研究发现，表述为“最新的研究揭示GLP-1的抗炎效应主要依赖星形胶质细胞，会诱导TNF-α、IL-6和IL-1b的显著降低”。</w:t>
      </w:r>
    </w:p>
    <w:p>
      <w:pPr>
        <w:ind w:firstLine="480" w:firstLineChars="200"/>
        <w:jc w:val="left"/>
        <w:rPr>
          <w:rFonts w:ascii="Times New Roman" w:hAnsi="Times New Roman" w:eastAsia="仿宋_GB2312" w:cs="Times New Roman"/>
          <w:bCs/>
          <w:sz w:val="24"/>
          <w:szCs w:val="24"/>
        </w:rPr>
      </w:pPr>
      <w:r>
        <w:rPr>
          <w:rFonts w:hint="eastAsia" w:ascii="Times New Roman" w:hAnsi="Times New Roman" w:eastAsia="仿宋_GB2312" w:cs="Times New Roman"/>
          <w:bCs/>
          <w:sz w:val="24"/>
          <w:szCs w:val="24"/>
        </w:rPr>
        <w:t>④</w:t>
      </w:r>
      <w:r>
        <w:rPr>
          <w:rFonts w:ascii="Times New Roman" w:hAnsi="Times New Roman" w:eastAsia="仿宋_GB2312" w:cs="Times New Roman"/>
          <w:bCs/>
          <w:sz w:val="24"/>
          <w:szCs w:val="24"/>
        </w:rPr>
        <w:t>韩国庆尚大学药学院卢具燮教授发表于Cells（2021 Sep 24; 10）、日本大学药学院铃木东由美教授发表于J Control Release（2021 Apr 10; 332: 493-501）、英国伦敦大学神经病学研究所Hedley Ca Emsley教授发表于J Cereb Blood Flow Metab（2021 Jan; 41: 14-30）的论文均引用张慧楠、黄婧博士关于Ex-4、DMB的研究结果。</w:t>
      </w:r>
    </w:p>
    <w:p>
      <w:pPr>
        <w:ind w:firstLine="480" w:firstLineChars="200"/>
        <w:jc w:val="left"/>
        <w:rPr>
          <w:rFonts w:ascii="Times New Roman" w:hAnsi="Times New Roman" w:eastAsia="仿宋_GB2312" w:cs="Times New Roman"/>
          <w:bCs/>
          <w:sz w:val="24"/>
          <w:szCs w:val="24"/>
        </w:rPr>
      </w:pPr>
      <w:r>
        <w:rPr>
          <w:rFonts w:hint="eastAsia" w:ascii="Times New Roman" w:hAnsi="Times New Roman" w:eastAsia="仿宋_GB2312" w:cs="Times New Roman"/>
          <w:bCs/>
          <w:sz w:val="24"/>
          <w:szCs w:val="24"/>
        </w:rPr>
        <w:t>⑤</w:t>
      </w:r>
      <w:r>
        <w:rPr>
          <w:rFonts w:ascii="Times New Roman" w:hAnsi="Times New Roman" w:eastAsia="仿宋_GB2312" w:cs="Times New Roman"/>
          <w:bCs/>
          <w:sz w:val="24"/>
          <w:szCs w:val="24"/>
        </w:rPr>
        <w:t>瑞典卡罗琳斯卡大学内科学系主任Cesare Patrone教授在Neuropharmacology（2018 Jul 1; 136: 280-286）的论文中引用并高度评价我们关于Ex-4经鼻给药的方法，而美国田纳西州范德堡大学Annette G Beck-Sickinger教授则对我们关于GLP-1R激动剂口服给药的创新性应用表示高度赞赏（J Med Chem. 2017 Sep 14; 60: 7605-7612）。英国伦敦国立神经病学和神经外科医院中风研究中心 Hedley Ca Emsley教授于文中引用张慧楠博士关于pro-GLP-1的研究结论，并指出“这是一项对于卒中研究极为重要的发现”（J Cereb Blood Flow Metab. 2021 Jan; 41: 14-30）。</w:t>
      </w:r>
    </w:p>
    <w:p>
      <w:pPr>
        <w:ind w:firstLine="480" w:firstLineChars="200"/>
        <w:jc w:val="left"/>
        <w:rPr>
          <w:rFonts w:ascii="Times New Roman" w:hAnsi="Times New Roman" w:eastAsia="仿宋_GB2312" w:cs="Times New Roman"/>
          <w:bCs/>
          <w:sz w:val="24"/>
          <w:szCs w:val="24"/>
        </w:rPr>
      </w:pPr>
      <w:r>
        <w:rPr>
          <w:rFonts w:hint="eastAsia" w:ascii="Times New Roman" w:hAnsi="Times New Roman" w:eastAsia="仿宋_GB2312" w:cs="Times New Roman"/>
          <w:bCs/>
          <w:sz w:val="24"/>
          <w:szCs w:val="24"/>
        </w:rPr>
        <w:t>⑥</w:t>
      </w:r>
      <w:r>
        <w:rPr>
          <w:rFonts w:ascii="Times New Roman" w:hAnsi="Times New Roman" w:eastAsia="仿宋_GB2312" w:cs="Times New Roman"/>
          <w:bCs/>
          <w:sz w:val="24"/>
          <w:szCs w:val="24"/>
        </w:rPr>
        <w:t>四川大学国家生物材料工程研究中心吴方教授在研发共价固定DJK-5肽增强抗菌作用并抑制炎症性破骨细胞形成的多孔钛新材料时充分借鉴了我们发表在Science Advances的研究成果。</w:t>
      </w:r>
    </w:p>
    <w:p>
      <w:pPr>
        <w:ind w:firstLine="480" w:firstLineChars="200"/>
        <w:jc w:val="left"/>
        <w:rPr>
          <w:rFonts w:ascii="Times New Roman" w:hAnsi="Times New Roman" w:eastAsia="仿宋_GB2312" w:cs="Times New Roman"/>
          <w:bCs/>
          <w:sz w:val="24"/>
          <w:szCs w:val="24"/>
        </w:rPr>
      </w:pPr>
      <w:r>
        <w:rPr>
          <w:rFonts w:hint="eastAsia" w:ascii="Times New Roman" w:hAnsi="Times New Roman" w:eastAsia="仿宋_GB2312" w:cs="Times New Roman"/>
          <w:bCs/>
          <w:sz w:val="24"/>
          <w:szCs w:val="24"/>
        </w:rPr>
        <w:t>⑦</w:t>
      </w:r>
      <w:r>
        <w:rPr>
          <w:rFonts w:ascii="Times New Roman" w:hAnsi="Times New Roman" w:eastAsia="仿宋_GB2312" w:cs="Times New Roman"/>
          <w:bCs/>
          <w:sz w:val="24"/>
          <w:szCs w:val="24"/>
        </w:rPr>
        <w:t>复旦大学药学院微生物及生化药学部叶丽教授团队在Phytomedicine撰文（2019 Jan; 52: 79-88）并引用我们多篇关于香豆素的论著，指出“在过去10年中，多个包含香豆素母核的化合物被合成并展示出丰富有效的生物学和药理学活性，极大地提高了该领域的研究热度”。</w:t>
      </w:r>
    </w:p>
    <w:p>
      <w:pPr>
        <w:ind w:firstLine="480" w:firstLineChars="200"/>
        <w:jc w:val="left"/>
        <w:rPr>
          <w:rFonts w:ascii="Times New Roman" w:hAnsi="Times New Roman" w:eastAsia="仿宋_GB2312" w:cs="Times New Roman"/>
          <w:bCs/>
          <w:sz w:val="24"/>
          <w:szCs w:val="24"/>
        </w:rPr>
      </w:pPr>
      <w:r>
        <w:rPr>
          <w:rFonts w:ascii="Times New Roman" w:hAnsi="Times New Roman" w:eastAsia="仿宋_GB2312" w:cs="Times New Roman"/>
          <w:bCs/>
          <w:sz w:val="24"/>
          <w:szCs w:val="24"/>
        </w:rPr>
        <w:t>2、成果写入四部中国专家共识</w:t>
      </w:r>
    </w:p>
    <w:p>
      <w:pPr>
        <w:ind w:firstLine="480" w:firstLineChars="200"/>
        <w:jc w:val="left"/>
        <w:rPr>
          <w:rFonts w:ascii="Times New Roman" w:hAnsi="Times New Roman" w:eastAsia="仿宋_GB2312" w:cs="Times New Roman"/>
          <w:bCs/>
          <w:sz w:val="24"/>
          <w:szCs w:val="24"/>
        </w:rPr>
      </w:pPr>
      <w:r>
        <w:rPr>
          <w:rFonts w:ascii="Times New Roman" w:hAnsi="Times New Roman" w:eastAsia="仿宋_GB2312" w:cs="Times New Roman"/>
          <w:bCs/>
          <w:sz w:val="24"/>
          <w:szCs w:val="24"/>
        </w:rPr>
        <w:t>该项目成果被写入《“移动卒中单元”中国专家共识》、《神经外科危重昏迷患者肠内营养专家共识》、《移动CT床旁头部检查技术专家共识》、《急性大血管闭塞性缺血性卒中血管内治疗中国专家共识》等四部中国专家共识。</w:t>
      </w:r>
    </w:p>
    <w:p>
      <w:pPr>
        <w:ind w:firstLine="480" w:firstLineChars="200"/>
        <w:jc w:val="left"/>
        <w:rPr>
          <w:rFonts w:ascii="Times New Roman" w:hAnsi="Times New Roman" w:eastAsia="仿宋_GB2312" w:cs="Times New Roman"/>
          <w:bCs/>
          <w:sz w:val="24"/>
          <w:szCs w:val="24"/>
        </w:rPr>
      </w:pPr>
      <w:r>
        <w:rPr>
          <w:rFonts w:ascii="Times New Roman" w:hAnsi="Times New Roman" w:eastAsia="仿宋_GB2312" w:cs="Times New Roman"/>
          <w:bCs/>
          <w:sz w:val="24"/>
          <w:szCs w:val="24"/>
        </w:rPr>
        <w:t>3、成果获得三项学术论文奖</w:t>
      </w:r>
    </w:p>
    <w:p>
      <w:pPr>
        <w:ind w:firstLine="480" w:firstLineChars="200"/>
        <w:jc w:val="left"/>
        <w:rPr>
          <w:rFonts w:ascii="Times New Roman" w:hAnsi="Times New Roman" w:eastAsia="仿宋_GB2312" w:cs="Times New Roman"/>
          <w:bCs/>
          <w:sz w:val="24"/>
          <w:szCs w:val="24"/>
        </w:rPr>
      </w:pPr>
      <w:r>
        <w:rPr>
          <w:rFonts w:hint="eastAsia" w:ascii="Times New Roman" w:hAnsi="Times New Roman" w:eastAsia="仿宋_GB2312" w:cs="Times New Roman"/>
          <w:bCs/>
          <w:sz w:val="24"/>
          <w:szCs w:val="24"/>
        </w:rPr>
        <w:t>①</w:t>
      </w:r>
      <w:r>
        <w:rPr>
          <w:rFonts w:ascii="Times New Roman" w:hAnsi="Times New Roman" w:eastAsia="仿宋_GB2312" w:cs="Times New Roman"/>
          <w:bCs/>
          <w:sz w:val="24"/>
          <w:szCs w:val="24"/>
        </w:rPr>
        <w:t>张慧楠. 抑制JMJD3减轻脑缺血再灌注损伤后星形胶质细胞损伤. 陕西省药理学会优秀论文一等奖, 2018年;</w:t>
      </w:r>
    </w:p>
    <w:p>
      <w:pPr>
        <w:ind w:firstLine="480" w:firstLineChars="200"/>
        <w:jc w:val="left"/>
        <w:rPr>
          <w:rFonts w:ascii="Times New Roman" w:hAnsi="Times New Roman" w:eastAsia="仿宋_GB2312" w:cs="Times New Roman"/>
          <w:bCs/>
          <w:sz w:val="24"/>
          <w:szCs w:val="24"/>
        </w:rPr>
      </w:pPr>
      <w:r>
        <w:rPr>
          <w:rFonts w:hint="eastAsia" w:ascii="Times New Roman" w:hAnsi="Times New Roman" w:eastAsia="仿宋_GB2312" w:cs="Times New Roman"/>
          <w:bCs/>
          <w:sz w:val="24"/>
          <w:szCs w:val="24"/>
        </w:rPr>
        <w:t>②</w:t>
      </w:r>
      <w:r>
        <w:rPr>
          <w:rFonts w:ascii="Times New Roman" w:hAnsi="Times New Roman" w:eastAsia="仿宋_GB2312" w:cs="Times New Roman"/>
          <w:bCs/>
          <w:sz w:val="24"/>
          <w:szCs w:val="24"/>
        </w:rPr>
        <w:t>张慧楠. GLP-1受体介导脑缺血保护作用的“记忆效应”及机理研究. 中国药学会第十三届青年药学科研成果交流会三等奖, 2016年;</w:t>
      </w:r>
    </w:p>
    <w:p>
      <w:pPr>
        <w:ind w:firstLine="480" w:firstLineChars="200"/>
        <w:jc w:val="left"/>
        <w:rPr>
          <w:rFonts w:ascii="Times New Roman" w:hAnsi="Times New Roman" w:eastAsia="仿宋_GB2312" w:cs="Times New Roman"/>
          <w:bCs/>
          <w:sz w:val="24"/>
          <w:szCs w:val="24"/>
        </w:rPr>
      </w:pPr>
      <w:r>
        <w:rPr>
          <w:rFonts w:hint="eastAsia" w:ascii="Times New Roman" w:hAnsi="Times New Roman" w:eastAsia="仿宋_GB2312" w:cs="Times New Roman"/>
          <w:bCs/>
          <w:sz w:val="24"/>
          <w:szCs w:val="24"/>
        </w:rPr>
        <w:t>③</w:t>
      </w:r>
      <w:r>
        <w:rPr>
          <w:rFonts w:ascii="Times New Roman" w:hAnsi="Times New Roman" w:eastAsia="仿宋_GB2312" w:cs="Times New Roman"/>
          <w:bCs/>
          <w:sz w:val="24"/>
          <w:szCs w:val="24"/>
        </w:rPr>
        <w:t>张慧楠. Delayed treatment of GLP-1 reduces neuroinflammation from stroke via cross-talking IGF-1R in astrocyte. 陕西省药理学会优秀论文三等奖, 2019年;</w:t>
      </w:r>
    </w:p>
    <w:p>
      <w:pPr>
        <w:ind w:firstLine="480" w:firstLineChars="200"/>
        <w:jc w:val="left"/>
        <w:rPr>
          <w:rFonts w:ascii="Times New Roman" w:hAnsi="Times New Roman" w:eastAsia="仿宋_GB2312" w:cs="Times New Roman"/>
          <w:bCs/>
          <w:sz w:val="24"/>
          <w:szCs w:val="24"/>
        </w:rPr>
      </w:pPr>
      <w:r>
        <w:rPr>
          <w:rFonts w:ascii="Times New Roman" w:hAnsi="Times New Roman" w:eastAsia="仿宋_GB2312" w:cs="Times New Roman"/>
          <w:bCs/>
          <w:sz w:val="24"/>
          <w:szCs w:val="24"/>
        </w:rPr>
        <w:t>4、相关动物模型获得中国医学领域的最高科技奖励</w:t>
      </w:r>
    </w:p>
    <w:p>
      <w:pPr>
        <w:ind w:firstLine="480" w:firstLineChars="200"/>
        <w:jc w:val="left"/>
        <w:rPr>
          <w:rFonts w:ascii="Times New Roman" w:hAnsi="Times New Roman" w:eastAsia="仿宋_GB2312" w:cs="Times New Roman"/>
          <w:bCs/>
          <w:sz w:val="24"/>
          <w:szCs w:val="24"/>
        </w:rPr>
      </w:pPr>
      <w:r>
        <w:rPr>
          <w:rFonts w:ascii="Times New Roman" w:hAnsi="Times New Roman" w:eastAsia="仿宋_GB2312" w:cs="Times New Roman"/>
          <w:bCs/>
          <w:sz w:val="24"/>
          <w:szCs w:val="24"/>
        </w:rPr>
        <w:t>相关的脑缺血动物模型制备方法获得2014年度中华医学科技奖一等奖（脑卒中发生机理与临床救治新技术）。</w:t>
      </w:r>
    </w:p>
    <w:p>
      <w:pPr>
        <w:widowControl/>
        <w:jc w:val="left"/>
        <w:rPr>
          <w:rFonts w:ascii="Times New Roman" w:hAnsi="Times New Roman" w:eastAsia="仿宋_GB2312" w:cs="Times New Roman"/>
          <w:sz w:val="32"/>
        </w:rPr>
      </w:pPr>
    </w:p>
    <w:p>
      <w:pPr>
        <w:widowControl/>
        <w:jc w:val="left"/>
        <w:rPr>
          <w:rFonts w:ascii="Times New Roman" w:hAnsi="Times New Roman" w:eastAsia="仿宋_GB2312" w:cs="Times New Roman"/>
          <w:sz w:val="32"/>
        </w:rPr>
      </w:pPr>
      <w:r>
        <w:rPr>
          <w:rFonts w:ascii="Times New Roman" w:hAnsi="Times New Roman" w:eastAsia="仿宋_GB2312" w:cs="Times New Roman"/>
          <w:sz w:val="32"/>
        </w:rPr>
        <w:t>八、应用情况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项目组</w:t>
      </w:r>
      <w:r>
        <w:rPr>
          <w:rFonts w:ascii="Times New Roman" w:hAnsi="Times New Roman" w:eastAsia="仿宋_GB2312" w:cs="Times New Roman"/>
          <w:sz w:val="32"/>
        </w:rPr>
        <w:t>将颅内支架植入手术技术以及围术期抗血小板治疗策略在省内外十余家医院推广，用于颈动脉狭窄/闭塞患者的手术治疗，72h内血栓发生率为2.5%，24h内颅内出血发生率为1.3%，24h内发生症状性脑梗塞5.1%，术后即刻血管狭窄率下降12.4%，6月时支架内再狭窄率为7.8%。此外，本项目组创新性开展并推广一系列血管介入手术新术式，在西北地区首先开展并推广静脉窦球囊扩张并支架成形术，患者180天mRS评分较保守治疗组降低1.1分。</w:t>
      </w:r>
    </w:p>
    <w:p>
      <w:pPr>
        <w:ind w:firstLine="640" w:firstLineChars="200"/>
        <w:jc w:val="left"/>
        <w:rPr>
          <w:rFonts w:ascii="Times New Roman" w:hAnsi="Times New Roman" w:eastAsia="仿宋_GB2312" w:cs="Times New Roman"/>
          <w:sz w:val="32"/>
        </w:rPr>
      </w:pPr>
      <w:r>
        <w:rPr>
          <w:rFonts w:ascii="Times New Roman" w:hAnsi="Times New Roman" w:eastAsia="仿宋_GB2312" w:cs="Times New Roman"/>
          <w:sz w:val="32"/>
        </w:rPr>
        <w:t>应用本项目技术的代表性临床单位包括：</w:t>
      </w:r>
    </w:p>
    <w:tbl>
      <w:tblPr>
        <w:tblStyle w:val="9"/>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
        <w:gridCol w:w="1550"/>
        <w:gridCol w:w="1559"/>
        <w:gridCol w:w="1984"/>
        <w:gridCol w:w="1706"/>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Align w:val="center"/>
          </w:tcPr>
          <w:p>
            <w:pPr>
              <w:pStyle w:val="13"/>
              <w:widowControl/>
              <w:spacing w:line="360" w:lineRule="exact"/>
              <w:ind w:firstLine="0" w:firstLineChars="0"/>
              <w:jc w:val="center"/>
              <w:rPr>
                <w:rFonts w:ascii="Times New Roman" w:hAnsi="Times New Roman" w:eastAsia="仿宋_GB2312" w:cs="Times New Roman"/>
                <w:bCs/>
                <w:spacing w:val="2"/>
                <w:sz w:val="24"/>
              </w:rPr>
            </w:pPr>
            <w:r>
              <w:rPr>
                <w:rFonts w:ascii="Times New Roman" w:hAnsi="Times New Roman" w:eastAsia="仿宋_GB2312" w:cs="Times New Roman"/>
                <w:bCs/>
                <w:spacing w:val="2"/>
                <w:sz w:val="24"/>
              </w:rPr>
              <w:t>序号</w:t>
            </w:r>
          </w:p>
        </w:tc>
        <w:tc>
          <w:tcPr>
            <w:tcW w:w="1550"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 w:val="24"/>
              </w:rPr>
            </w:pPr>
            <w:r>
              <w:rPr>
                <w:rFonts w:ascii="Times New Roman" w:hAnsi="Times New Roman" w:eastAsia="仿宋_GB2312" w:cs="Times New Roman"/>
                <w:bCs/>
                <w:spacing w:val="2"/>
                <w:sz w:val="24"/>
              </w:rPr>
              <w:t>单位名称</w:t>
            </w:r>
          </w:p>
        </w:tc>
        <w:tc>
          <w:tcPr>
            <w:tcW w:w="1559"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 w:val="24"/>
              </w:rPr>
            </w:pPr>
            <w:r>
              <w:rPr>
                <w:rFonts w:ascii="Times New Roman" w:hAnsi="Times New Roman" w:eastAsia="仿宋_GB2312" w:cs="Times New Roman"/>
                <w:bCs/>
                <w:spacing w:val="2"/>
                <w:sz w:val="24"/>
              </w:rPr>
              <w:t>应用技术</w:t>
            </w:r>
          </w:p>
        </w:tc>
        <w:tc>
          <w:tcPr>
            <w:tcW w:w="1984" w:type="dxa"/>
            <w:vAlign w:val="center"/>
          </w:tcPr>
          <w:p>
            <w:pPr>
              <w:pStyle w:val="13"/>
              <w:widowControl/>
              <w:spacing w:line="360" w:lineRule="exact"/>
              <w:ind w:firstLine="0" w:firstLineChars="0"/>
              <w:jc w:val="center"/>
              <w:rPr>
                <w:rFonts w:ascii="Times New Roman" w:hAnsi="Times New Roman" w:eastAsia="仿宋_GB2312" w:cs="Times New Roman"/>
                <w:bCs/>
                <w:spacing w:val="2"/>
                <w:sz w:val="24"/>
              </w:rPr>
            </w:pPr>
            <w:r>
              <w:rPr>
                <w:rFonts w:ascii="Times New Roman" w:hAnsi="Times New Roman" w:eastAsia="仿宋_GB2312" w:cs="Times New Roman"/>
                <w:bCs/>
                <w:spacing w:val="2"/>
                <w:sz w:val="24"/>
              </w:rPr>
              <w:t>应用对象</w:t>
            </w:r>
          </w:p>
          <w:p>
            <w:pPr>
              <w:pStyle w:val="13"/>
              <w:widowControl/>
              <w:spacing w:line="360" w:lineRule="exact"/>
              <w:ind w:firstLine="0" w:firstLineChars="0"/>
              <w:jc w:val="center"/>
              <w:rPr>
                <w:rFonts w:ascii="Times New Roman" w:hAnsi="Times New Roman" w:eastAsia="仿宋_GB2312" w:cs="Times New Roman"/>
                <w:bCs/>
                <w:spacing w:val="2"/>
                <w:sz w:val="24"/>
              </w:rPr>
            </w:pPr>
            <w:r>
              <w:rPr>
                <w:rFonts w:ascii="Times New Roman" w:hAnsi="Times New Roman" w:eastAsia="仿宋_GB2312" w:cs="Times New Roman"/>
                <w:bCs/>
                <w:spacing w:val="2"/>
                <w:sz w:val="24"/>
              </w:rPr>
              <w:t>及规模</w:t>
            </w:r>
          </w:p>
        </w:tc>
        <w:tc>
          <w:tcPr>
            <w:tcW w:w="1706"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 w:val="24"/>
              </w:rPr>
            </w:pPr>
            <w:r>
              <w:rPr>
                <w:rFonts w:ascii="Times New Roman" w:hAnsi="Times New Roman" w:eastAsia="仿宋_GB2312" w:cs="Times New Roman"/>
                <w:bCs/>
                <w:spacing w:val="2"/>
                <w:sz w:val="24"/>
              </w:rPr>
              <w:t>应用起止</w:t>
            </w:r>
          </w:p>
          <w:p>
            <w:pPr>
              <w:pStyle w:val="13"/>
              <w:widowControl/>
              <w:spacing w:line="360" w:lineRule="exact"/>
              <w:ind w:firstLine="0" w:firstLineChars="0"/>
              <w:jc w:val="center"/>
              <w:rPr>
                <w:rFonts w:ascii="Times New Roman" w:hAnsi="Times New Roman" w:eastAsia="仿宋_GB2312" w:cs="Times New Roman"/>
                <w:bCs/>
                <w:spacing w:val="2"/>
                <w:sz w:val="24"/>
              </w:rPr>
            </w:pPr>
            <w:r>
              <w:rPr>
                <w:rFonts w:ascii="Times New Roman" w:hAnsi="Times New Roman" w:eastAsia="仿宋_GB2312" w:cs="Times New Roman"/>
                <w:bCs/>
                <w:spacing w:val="2"/>
                <w:sz w:val="24"/>
              </w:rPr>
              <w:t>时间</w:t>
            </w:r>
          </w:p>
        </w:tc>
        <w:tc>
          <w:tcPr>
            <w:tcW w:w="1125"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 w:val="24"/>
              </w:rPr>
            </w:pPr>
            <w:r>
              <w:rPr>
                <w:rFonts w:ascii="Times New Roman" w:hAnsi="Times New Roman" w:eastAsia="仿宋_GB2312" w:cs="Times New Roman"/>
                <w:bCs/>
                <w:spacing w:val="2"/>
                <w:sz w:val="24"/>
              </w:rPr>
              <w:t>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1</w:t>
            </w:r>
          </w:p>
        </w:tc>
        <w:tc>
          <w:tcPr>
            <w:tcW w:w="1550"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延安大学</w:t>
            </w:r>
          </w:p>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咸阳医院</w:t>
            </w:r>
          </w:p>
        </w:tc>
        <w:tc>
          <w:tcPr>
            <w:tcW w:w="1559"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颅内动脉狭窄支架植入术</w:t>
            </w:r>
          </w:p>
        </w:tc>
        <w:tc>
          <w:tcPr>
            <w:tcW w:w="1984" w:type="dxa"/>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颅内动脉狭窄患者100例</w:t>
            </w:r>
          </w:p>
        </w:tc>
        <w:tc>
          <w:tcPr>
            <w:tcW w:w="1706"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2020年04月28日至2022年06月09日</w:t>
            </w:r>
          </w:p>
        </w:tc>
        <w:tc>
          <w:tcPr>
            <w:tcW w:w="1125"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宋波/</w:t>
            </w:r>
          </w:p>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13891497312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2</w:t>
            </w:r>
          </w:p>
        </w:tc>
        <w:tc>
          <w:tcPr>
            <w:tcW w:w="1550"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西安医学院</w:t>
            </w:r>
          </w:p>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第一附属医院</w:t>
            </w:r>
          </w:p>
        </w:tc>
        <w:tc>
          <w:tcPr>
            <w:tcW w:w="1559"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围术期抗血小板治疗策略</w:t>
            </w:r>
          </w:p>
        </w:tc>
        <w:tc>
          <w:tcPr>
            <w:tcW w:w="1984" w:type="dxa"/>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围术期抗血小板治疗患者200例</w:t>
            </w:r>
          </w:p>
        </w:tc>
        <w:tc>
          <w:tcPr>
            <w:tcW w:w="1706"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2020年04月30日至2022年05月28日</w:t>
            </w:r>
          </w:p>
        </w:tc>
        <w:tc>
          <w:tcPr>
            <w:tcW w:w="1125"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金林/</w:t>
            </w:r>
          </w:p>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13992806765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3</w:t>
            </w:r>
          </w:p>
        </w:tc>
        <w:tc>
          <w:tcPr>
            <w:tcW w:w="1550"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西安医学院</w:t>
            </w:r>
          </w:p>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第二附属医院</w:t>
            </w:r>
          </w:p>
        </w:tc>
        <w:tc>
          <w:tcPr>
            <w:tcW w:w="1559"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颅内动脉狭窄支架植入术</w:t>
            </w:r>
          </w:p>
        </w:tc>
        <w:tc>
          <w:tcPr>
            <w:tcW w:w="1984" w:type="dxa"/>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颅内动脉狭窄患者150例</w:t>
            </w:r>
          </w:p>
        </w:tc>
        <w:tc>
          <w:tcPr>
            <w:tcW w:w="1706"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2020年05月21日至2022年05月31日</w:t>
            </w:r>
          </w:p>
        </w:tc>
        <w:tc>
          <w:tcPr>
            <w:tcW w:w="1125"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赵海康/</w:t>
            </w:r>
          </w:p>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13992860768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4</w:t>
            </w:r>
          </w:p>
        </w:tc>
        <w:tc>
          <w:tcPr>
            <w:tcW w:w="1550"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陕西省</w:t>
            </w:r>
          </w:p>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人民医院</w:t>
            </w:r>
          </w:p>
        </w:tc>
        <w:tc>
          <w:tcPr>
            <w:tcW w:w="1559"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围术期抗血小板治疗策略</w:t>
            </w:r>
          </w:p>
        </w:tc>
        <w:tc>
          <w:tcPr>
            <w:tcW w:w="1984" w:type="dxa"/>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围术期抗血小板治疗患者200例</w:t>
            </w:r>
          </w:p>
        </w:tc>
        <w:tc>
          <w:tcPr>
            <w:tcW w:w="1706"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2020年04月28日至2022年05月09日</w:t>
            </w:r>
          </w:p>
        </w:tc>
        <w:tc>
          <w:tcPr>
            <w:tcW w:w="1125"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胡炜/</w:t>
            </w:r>
          </w:p>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13572297885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5</w:t>
            </w:r>
          </w:p>
        </w:tc>
        <w:tc>
          <w:tcPr>
            <w:tcW w:w="1550"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咸阳市</w:t>
            </w:r>
          </w:p>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中心医院</w:t>
            </w:r>
          </w:p>
        </w:tc>
        <w:tc>
          <w:tcPr>
            <w:tcW w:w="1559"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颅内动脉狭窄支架植入术</w:t>
            </w:r>
          </w:p>
        </w:tc>
        <w:tc>
          <w:tcPr>
            <w:tcW w:w="1984" w:type="dxa"/>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颅内动脉狭窄患者100例</w:t>
            </w:r>
          </w:p>
        </w:tc>
        <w:tc>
          <w:tcPr>
            <w:tcW w:w="1706"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2020年04月29日至2022年06月01日</w:t>
            </w:r>
          </w:p>
        </w:tc>
        <w:tc>
          <w:tcPr>
            <w:tcW w:w="1125"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杨少伟/</w:t>
            </w:r>
          </w:p>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13991029068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6</w:t>
            </w:r>
          </w:p>
        </w:tc>
        <w:tc>
          <w:tcPr>
            <w:tcW w:w="1550"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咸阳市</w:t>
            </w:r>
          </w:p>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第一人民医院</w:t>
            </w:r>
          </w:p>
        </w:tc>
        <w:tc>
          <w:tcPr>
            <w:tcW w:w="1559"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围术期抗血小板治疗策略</w:t>
            </w:r>
          </w:p>
        </w:tc>
        <w:tc>
          <w:tcPr>
            <w:tcW w:w="1984" w:type="dxa"/>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围术期抗血小板治疗患者150例</w:t>
            </w:r>
          </w:p>
        </w:tc>
        <w:tc>
          <w:tcPr>
            <w:tcW w:w="1706"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2020年04月28日至2022年05月09日</w:t>
            </w:r>
          </w:p>
        </w:tc>
        <w:tc>
          <w:tcPr>
            <w:tcW w:w="1125"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赵虎威/</w:t>
            </w:r>
          </w:p>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13992094491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7</w:t>
            </w:r>
          </w:p>
        </w:tc>
        <w:tc>
          <w:tcPr>
            <w:tcW w:w="1550"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渭南市</w:t>
            </w:r>
          </w:p>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第二人民医院</w:t>
            </w:r>
          </w:p>
        </w:tc>
        <w:tc>
          <w:tcPr>
            <w:tcW w:w="1559"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颅内动脉狭窄支架植入术</w:t>
            </w:r>
          </w:p>
        </w:tc>
        <w:tc>
          <w:tcPr>
            <w:tcW w:w="1984" w:type="dxa"/>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颅内动脉狭窄患者50例</w:t>
            </w:r>
          </w:p>
        </w:tc>
        <w:tc>
          <w:tcPr>
            <w:tcW w:w="1706"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2020年05月28日至2022年06月09日</w:t>
            </w:r>
          </w:p>
        </w:tc>
        <w:tc>
          <w:tcPr>
            <w:tcW w:w="1125"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侯建/</w:t>
            </w:r>
          </w:p>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13572300864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8</w:t>
            </w:r>
          </w:p>
        </w:tc>
        <w:tc>
          <w:tcPr>
            <w:tcW w:w="1550"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安康市</w:t>
            </w:r>
          </w:p>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中心医院</w:t>
            </w:r>
          </w:p>
        </w:tc>
        <w:tc>
          <w:tcPr>
            <w:tcW w:w="1559"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围术期抗血小板治疗策略</w:t>
            </w:r>
          </w:p>
        </w:tc>
        <w:tc>
          <w:tcPr>
            <w:tcW w:w="1984" w:type="dxa"/>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围术期抗血小板治疗患者150例</w:t>
            </w:r>
          </w:p>
        </w:tc>
        <w:tc>
          <w:tcPr>
            <w:tcW w:w="1706"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2020年04月25日至2022年05月21日</w:t>
            </w:r>
          </w:p>
        </w:tc>
        <w:tc>
          <w:tcPr>
            <w:tcW w:w="1125"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李东波/</w:t>
            </w:r>
          </w:p>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13891509609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5" w:type="dxa"/>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9</w:t>
            </w:r>
          </w:p>
        </w:tc>
        <w:tc>
          <w:tcPr>
            <w:tcW w:w="1550"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安康市</w:t>
            </w:r>
          </w:p>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中医医院</w:t>
            </w:r>
          </w:p>
        </w:tc>
        <w:tc>
          <w:tcPr>
            <w:tcW w:w="1559"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颅内静脉窦支架成形术</w:t>
            </w:r>
          </w:p>
        </w:tc>
        <w:tc>
          <w:tcPr>
            <w:tcW w:w="1984" w:type="dxa"/>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颅内静脉窦狭窄患者100例</w:t>
            </w:r>
          </w:p>
        </w:tc>
        <w:tc>
          <w:tcPr>
            <w:tcW w:w="1706"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2020年05月23日至2022年05月29日</w:t>
            </w:r>
          </w:p>
        </w:tc>
        <w:tc>
          <w:tcPr>
            <w:tcW w:w="1125"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吴宗涛/</w:t>
            </w:r>
          </w:p>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13909152882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5" w:type="dxa"/>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10</w:t>
            </w:r>
          </w:p>
        </w:tc>
        <w:tc>
          <w:tcPr>
            <w:tcW w:w="1550"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铜川市</w:t>
            </w:r>
          </w:p>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人民医院</w:t>
            </w:r>
          </w:p>
        </w:tc>
        <w:tc>
          <w:tcPr>
            <w:tcW w:w="1559"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颅内静脉窦支架成形术</w:t>
            </w:r>
          </w:p>
        </w:tc>
        <w:tc>
          <w:tcPr>
            <w:tcW w:w="1984" w:type="dxa"/>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颅内静脉窦狭窄患者100例</w:t>
            </w:r>
          </w:p>
        </w:tc>
        <w:tc>
          <w:tcPr>
            <w:tcW w:w="1706"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2020年04月30日至2022年05月31日</w:t>
            </w:r>
          </w:p>
        </w:tc>
        <w:tc>
          <w:tcPr>
            <w:tcW w:w="1125" w:type="dxa"/>
            <w:shd w:val="clear" w:color="auto" w:fill="auto"/>
            <w:vAlign w:val="center"/>
          </w:tcPr>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谢军/</w:t>
            </w:r>
          </w:p>
          <w:p>
            <w:pPr>
              <w:pStyle w:val="13"/>
              <w:widowControl/>
              <w:spacing w:line="360" w:lineRule="exact"/>
              <w:ind w:firstLine="0" w:firstLineChars="0"/>
              <w:jc w:val="center"/>
              <w:rPr>
                <w:rFonts w:ascii="Times New Roman" w:hAnsi="Times New Roman" w:eastAsia="仿宋_GB2312" w:cs="Times New Roman"/>
                <w:bCs/>
                <w:spacing w:val="2"/>
                <w:szCs w:val="21"/>
              </w:rPr>
            </w:pPr>
            <w:r>
              <w:rPr>
                <w:rFonts w:ascii="Times New Roman" w:hAnsi="Times New Roman" w:eastAsia="仿宋_GB2312" w:cs="Times New Roman"/>
                <w:bCs/>
                <w:spacing w:val="2"/>
                <w:szCs w:val="21"/>
              </w:rPr>
              <w:t>18992956600</w:t>
            </w:r>
          </w:p>
        </w:tc>
      </w:tr>
    </w:tbl>
    <w:p>
      <w:pPr>
        <w:widowControl/>
        <w:jc w:val="left"/>
        <w:rPr>
          <w:rFonts w:ascii="Times New Roman" w:hAnsi="Times New Roman" w:eastAsia="仿宋_GB2312" w:cs="Times New Roman"/>
          <w:sz w:val="32"/>
        </w:rPr>
      </w:pPr>
      <w:r>
        <w:rPr>
          <w:rFonts w:ascii="Times New Roman" w:hAnsi="Times New Roman" w:eastAsia="仿宋_GB2312" w:cs="Times New Roman"/>
          <w:sz w:val="32"/>
        </w:rPr>
        <w:br w:type="page"/>
      </w:r>
    </w:p>
    <w:p>
      <w:pPr>
        <w:rPr>
          <w:rFonts w:ascii="Times New Roman" w:hAnsi="Times New Roman" w:eastAsia="仿宋_GB2312" w:cs="Times New Roman"/>
          <w:sz w:val="32"/>
        </w:rPr>
      </w:pPr>
      <w:r>
        <w:rPr>
          <w:rFonts w:ascii="Times New Roman" w:hAnsi="Times New Roman" w:eastAsia="仿宋_GB2312" w:cs="Times New Roman"/>
          <w:sz w:val="32"/>
        </w:rPr>
        <w:t>九、主要知识产权和标准规范等目录</w:t>
      </w:r>
    </w:p>
    <w:tbl>
      <w:tblPr>
        <w:tblStyle w:val="9"/>
        <w:tblW w:w="6067"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29"/>
        <w:gridCol w:w="1167"/>
        <w:gridCol w:w="1750"/>
        <w:gridCol w:w="1166"/>
        <w:gridCol w:w="1171"/>
        <w:gridCol w:w="1164"/>
        <w:gridCol w:w="1164"/>
        <w:gridCol w:w="1166"/>
        <w:gridCol w:w="116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07" w:type="pct"/>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序号</w:t>
            </w:r>
          </w:p>
        </w:tc>
        <w:tc>
          <w:tcPr>
            <w:tcW w:w="564" w:type="pct"/>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知识产权</w:t>
            </w:r>
          </w:p>
          <w:p>
            <w:pPr>
              <w:pStyle w:val="4"/>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类别</w:t>
            </w:r>
          </w:p>
        </w:tc>
        <w:tc>
          <w:tcPr>
            <w:tcW w:w="846" w:type="pct"/>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知识产权</w:t>
            </w:r>
          </w:p>
          <w:p>
            <w:pPr>
              <w:pStyle w:val="4"/>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具体名称</w:t>
            </w:r>
          </w:p>
        </w:tc>
        <w:tc>
          <w:tcPr>
            <w:tcW w:w="564" w:type="pct"/>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国家</w:t>
            </w:r>
          </w:p>
          <w:p>
            <w:pPr>
              <w:pStyle w:val="4"/>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（地区）</w:t>
            </w:r>
          </w:p>
        </w:tc>
        <w:tc>
          <w:tcPr>
            <w:tcW w:w="566" w:type="pct"/>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授权号</w:t>
            </w:r>
          </w:p>
        </w:tc>
        <w:tc>
          <w:tcPr>
            <w:tcW w:w="563" w:type="pct"/>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授权日期</w:t>
            </w:r>
          </w:p>
        </w:tc>
        <w:tc>
          <w:tcPr>
            <w:tcW w:w="563" w:type="pct"/>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证书编号</w:t>
            </w:r>
          </w:p>
        </w:tc>
        <w:tc>
          <w:tcPr>
            <w:tcW w:w="564" w:type="pct"/>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权利人</w:t>
            </w:r>
          </w:p>
        </w:tc>
        <w:tc>
          <w:tcPr>
            <w:tcW w:w="563" w:type="pct"/>
            <w:tcBorders>
              <w:top w:val="single" w:color="auto" w:sz="8" w:space="0"/>
              <w:left w:val="single" w:color="auto" w:sz="8" w:space="0"/>
              <w:bottom w:val="single" w:color="auto" w:sz="8" w:space="0"/>
              <w:right w:val="single" w:color="auto" w:sz="8" w:space="0"/>
            </w:tcBorders>
            <w:vAlign w:val="center"/>
          </w:tcPr>
          <w:p>
            <w:pPr>
              <w:pStyle w:val="4"/>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07" w:type="pct"/>
            <w:tcBorders>
              <w:top w:val="single" w:color="auto" w:sz="8" w:space="0"/>
              <w:left w:val="single" w:color="auto" w:sz="8" w:space="0"/>
              <w:bottom w:val="single" w:color="auto" w:sz="8" w:space="0"/>
              <w:right w:val="single" w:color="auto" w:sz="8" w:space="0"/>
            </w:tcBorders>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1</w:t>
            </w:r>
          </w:p>
        </w:tc>
        <w:tc>
          <w:tcPr>
            <w:tcW w:w="564" w:type="pct"/>
            <w:tcBorders>
              <w:top w:val="single" w:color="auto" w:sz="8" w:space="0"/>
              <w:left w:val="single" w:color="auto" w:sz="8" w:space="0"/>
              <w:bottom w:val="single" w:color="auto" w:sz="8" w:space="0"/>
              <w:right w:val="single" w:color="auto" w:sz="8" w:space="0"/>
            </w:tcBorders>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论文</w:t>
            </w:r>
          </w:p>
        </w:tc>
        <w:tc>
          <w:tcPr>
            <w:tcW w:w="846"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A new coumarin compound DCH combats methicillin-resistant Staphylococcus aureus biofilm by targeting arginine repressor</w:t>
            </w:r>
          </w:p>
        </w:tc>
        <w:tc>
          <w:tcPr>
            <w:tcW w:w="564" w:type="pct"/>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中国</w:t>
            </w:r>
          </w:p>
        </w:tc>
        <w:tc>
          <w:tcPr>
            <w:tcW w:w="566" w:type="pct"/>
            <w:vAlign w:val="center"/>
          </w:tcPr>
          <w:p>
            <w:pPr>
              <w:pStyle w:val="4"/>
              <w:spacing w:line="240" w:lineRule="exact"/>
              <w:ind w:firstLine="0" w:firstLineChars="0"/>
              <w:jc w:val="left"/>
              <w:rPr>
                <w:rFonts w:ascii="Times New Roman" w:eastAsia="宋体" w:cs="Times New Roman"/>
                <w:color w:val="000000"/>
                <w:spacing w:val="5"/>
                <w:sz w:val="18"/>
                <w:szCs w:val="18"/>
              </w:rPr>
            </w:pPr>
            <w:r>
              <w:rPr>
                <w:rFonts w:ascii="Times New Roman" w:eastAsia="宋体" w:cs="Times New Roman"/>
                <w:sz w:val="18"/>
                <w:szCs w:val="18"/>
              </w:rPr>
              <w:t>6(30):eaay9597</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2020年06月22日</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Science Advances</w:t>
            </w:r>
          </w:p>
        </w:tc>
        <w:tc>
          <w:tcPr>
            <w:tcW w:w="564"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中国人民解放军第四军医大学</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李明凯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07" w:type="pct"/>
            <w:tcBorders>
              <w:top w:val="single" w:color="auto" w:sz="8" w:space="0"/>
              <w:left w:val="single" w:color="auto" w:sz="8" w:space="0"/>
              <w:bottom w:val="single" w:color="auto" w:sz="8" w:space="0"/>
              <w:right w:val="single" w:color="auto" w:sz="8" w:space="0"/>
            </w:tcBorders>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2</w:t>
            </w:r>
          </w:p>
        </w:tc>
        <w:tc>
          <w:tcPr>
            <w:tcW w:w="564" w:type="pct"/>
            <w:tcBorders>
              <w:top w:val="single" w:color="auto" w:sz="8" w:space="0"/>
              <w:left w:val="single" w:color="auto" w:sz="8" w:space="0"/>
              <w:bottom w:val="single" w:color="auto" w:sz="8" w:space="0"/>
              <w:right w:val="single" w:color="auto" w:sz="8" w:space="0"/>
            </w:tcBorders>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论文</w:t>
            </w:r>
          </w:p>
        </w:tc>
        <w:tc>
          <w:tcPr>
            <w:tcW w:w="846"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Inhibiting Jumoji domain containing protein 3 (JMJD3) prevent neuronal apoptosis from stroke</w:t>
            </w:r>
          </w:p>
        </w:tc>
        <w:tc>
          <w:tcPr>
            <w:tcW w:w="564" w:type="pct"/>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中国</w:t>
            </w:r>
          </w:p>
        </w:tc>
        <w:tc>
          <w:tcPr>
            <w:tcW w:w="566" w:type="pct"/>
            <w:vAlign w:val="center"/>
          </w:tcPr>
          <w:p>
            <w:pPr>
              <w:pStyle w:val="4"/>
              <w:spacing w:line="240" w:lineRule="exact"/>
              <w:ind w:firstLine="0" w:firstLineChars="0"/>
              <w:jc w:val="left"/>
              <w:rPr>
                <w:rFonts w:ascii="Times New Roman" w:eastAsia="宋体" w:cs="Times New Roman"/>
                <w:color w:val="000000"/>
                <w:spacing w:val="5"/>
                <w:sz w:val="18"/>
                <w:szCs w:val="18"/>
              </w:rPr>
            </w:pPr>
            <w:r>
              <w:rPr>
                <w:rFonts w:ascii="Times New Roman" w:eastAsia="宋体" w:cs="Times New Roman"/>
                <w:color w:val="000000"/>
                <w:spacing w:val="5"/>
                <w:sz w:val="18"/>
                <w:szCs w:val="18"/>
              </w:rPr>
              <w:t>308:132-142.</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2018年07月18日</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Exp Neurol</w:t>
            </w:r>
          </w:p>
        </w:tc>
        <w:tc>
          <w:tcPr>
            <w:tcW w:w="564"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中国人民解放军第四军医大学</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李侠、李明凯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07" w:type="pct"/>
            <w:tcBorders>
              <w:top w:val="single" w:color="auto" w:sz="8" w:space="0"/>
              <w:left w:val="single" w:color="auto" w:sz="8" w:space="0"/>
              <w:bottom w:val="single" w:color="auto" w:sz="8" w:space="0"/>
              <w:right w:val="single" w:color="auto" w:sz="8" w:space="0"/>
            </w:tcBorders>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3</w:t>
            </w:r>
          </w:p>
        </w:tc>
        <w:tc>
          <w:tcPr>
            <w:tcW w:w="564" w:type="pct"/>
            <w:tcBorders>
              <w:top w:val="single" w:color="auto" w:sz="8" w:space="0"/>
              <w:left w:val="single" w:color="auto" w:sz="8" w:space="0"/>
              <w:bottom w:val="single" w:color="auto" w:sz="8" w:space="0"/>
              <w:right w:val="single" w:color="auto" w:sz="8" w:space="0"/>
            </w:tcBorders>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论文</w:t>
            </w:r>
          </w:p>
        </w:tc>
        <w:tc>
          <w:tcPr>
            <w:tcW w:w="846"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Exendin-4 Induces a Novel Extended Effect of Ischemic Tolerance via Crosstalk with IGF-1R</w:t>
            </w:r>
          </w:p>
        </w:tc>
        <w:tc>
          <w:tcPr>
            <w:tcW w:w="564" w:type="pct"/>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中国</w:t>
            </w:r>
          </w:p>
        </w:tc>
        <w:tc>
          <w:tcPr>
            <w:tcW w:w="566" w:type="pct"/>
            <w:vAlign w:val="center"/>
          </w:tcPr>
          <w:p>
            <w:pPr>
              <w:pStyle w:val="4"/>
              <w:spacing w:line="240" w:lineRule="exact"/>
              <w:ind w:firstLine="0" w:firstLineChars="0"/>
              <w:jc w:val="left"/>
              <w:rPr>
                <w:rFonts w:ascii="Times New Roman" w:eastAsia="宋体" w:cs="Times New Roman"/>
                <w:color w:val="000000"/>
                <w:spacing w:val="5"/>
                <w:sz w:val="18"/>
                <w:szCs w:val="18"/>
              </w:rPr>
            </w:pPr>
            <w:r>
              <w:rPr>
                <w:rFonts w:ascii="Times New Roman" w:eastAsia="宋体" w:cs="Times New Roman"/>
                <w:color w:val="000000"/>
                <w:spacing w:val="5"/>
                <w:sz w:val="18"/>
                <w:szCs w:val="18"/>
              </w:rPr>
              <w:t>169:145-155</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2020年11月13日</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Brain Res Bull</w:t>
            </w:r>
          </w:p>
        </w:tc>
        <w:tc>
          <w:tcPr>
            <w:tcW w:w="564"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中国人民解放军第四军医大学</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马雪</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07" w:type="pct"/>
            <w:tcBorders>
              <w:top w:val="single" w:color="auto" w:sz="8" w:space="0"/>
              <w:left w:val="single" w:color="auto" w:sz="8" w:space="0"/>
              <w:bottom w:val="single" w:color="auto" w:sz="8" w:space="0"/>
              <w:right w:val="single" w:color="auto" w:sz="8" w:space="0"/>
            </w:tcBorders>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4</w:t>
            </w:r>
          </w:p>
        </w:tc>
        <w:tc>
          <w:tcPr>
            <w:tcW w:w="564" w:type="pct"/>
            <w:tcBorders>
              <w:top w:val="single" w:color="auto" w:sz="8" w:space="0"/>
              <w:left w:val="single" w:color="auto" w:sz="8" w:space="0"/>
              <w:bottom w:val="single" w:color="auto" w:sz="8" w:space="0"/>
              <w:right w:val="single" w:color="auto" w:sz="8" w:space="0"/>
            </w:tcBorders>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发明专利</w:t>
            </w:r>
          </w:p>
        </w:tc>
        <w:tc>
          <w:tcPr>
            <w:tcW w:w="846"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一类4-羟基双香豆素类化合物及其应用</w:t>
            </w:r>
          </w:p>
        </w:tc>
        <w:tc>
          <w:tcPr>
            <w:tcW w:w="564" w:type="pct"/>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中国</w:t>
            </w:r>
          </w:p>
        </w:tc>
        <w:tc>
          <w:tcPr>
            <w:tcW w:w="566"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color w:val="000000"/>
                <w:spacing w:val="5"/>
                <w:sz w:val="18"/>
                <w:szCs w:val="18"/>
              </w:rPr>
              <w:t>ZL 2014 1 0729253.2</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2016年08月10日</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2166706</w:t>
            </w:r>
          </w:p>
        </w:tc>
        <w:tc>
          <w:tcPr>
            <w:tcW w:w="564"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中国人民解放军第四军医大学</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李明凯、罗晓星、侯征、李靖、周颖、李汾、曲迪、李侠</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07" w:type="pct"/>
            <w:tcBorders>
              <w:top w:val="single" w:color="auto" w:sz="8" w:space="0"/>
              <w:left w:val="single" w:color="auto" w:sz="8" w:space="0"/>
              <w:bottom w:val="single" w:color="auto" w:sz="8" w:space="0"/>
              <w:right w:val="single" w:color="auto" w:sz="8" w:space="0"/>
            </w:tcBorders>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5</w:t>
            </w:r>
          </w:p>
        </w:tc>
        <w:tc>
          <w:tcPr>
            <w:tcW w:w="564" w:type="pct"/>
            <w:tcBorders>
              <w:top w:val="single" w:color="auto" w:sz="8" w:space="0"/>
              <w:left w:val="single" w:color="auto" w:sz="8" w:space="0"/>
              <w:bottom w:val="single" w:color="auto" w:sz="8" w:space="0"/>
              <w:right w:val="single" w:color="auto" w:sz="8" w:space="0"/>
            </w:tcBorders>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发明专利</w:t>
            </w:r>
          </w:p>
        </w:tc>
        <w:tc>
          <w:tcPr>
            <w:tcW w:w="846"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双香豆素化合物及其抗菌应用</w:t>
            </w:r>
          </w:p>
        </w:tc>
        <w:tc>
          <w:tcPr>
            <w:tcW w:w="564" w:type="pct"/>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中国</w:t>
            </w:r>
          </w:p>
        </w:tc>
        <w:tc>
          <w:tcPr>
            <w:tcW w:w="566"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color w:val="000000"/>
                <w:spacing w:val="5"/>
                <w:sz w:val="18"/>
                <w:szCs w:val="18"/>
              </w:rPr>
              <w:t>ZL 2014 1 0728805.8</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2017年08月11日</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2581863</w:t>
            </w:r>
          </w:p>
        </w:tc>
        <w:tc>
          <w:tcPr>
            <w:tcW w:w="564"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中国人民解放军第四军医大学</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李明凯、罗晓星、李靖、李侠、侯征、曲迪、李洲朋、束鑫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07" w:type="pct"/>
            <w:tcBorders>
              <w:top w:val="single" w:color="auto" w:sz="8" w:space="0"/>
              <w:left w:val="single" w:color="auto" w:sz="8" w:space="0"/>
              <w:bottom w:val="single" w:color="auto" w:sz="8" w:space="0"/>
              <w:right w:val="single" w:color="auto" w:sz="8" w:space="0"/>
            </w:tcBorders>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6</w:t>
            </w:r>
          </w:p>
        </w:tc>
        <w:tc>
          <w:tcPr>
            <w:tcW w:w="564" w:type="pct"/>
            <w:tcBorders>
              <w:top w:val="single" w:color="auto" w:sz="8" w:space="0"/>
              <w:left w:val="single" w:color="auto" w:sz="8" w:space="0"/>
              <w:bottom w:val="single" w:color="auto" w:sz="8" w:space="0"/>
              <w:right w:val="single" w:color="auto" w:sz="8" w:space="0"/>
            </w:tcBorders>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发明专利</w:t>
            </w:r>
          </w:p>
        </w:tc>
        <w:tc>
          <w:tcPr>
            <w:tcW w:w="846"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一种苯二氮杂卓化合物及其制备方法和应用</w:t>
            </w:r>
          </w:p>
        </w:tc>
        <w:tc>
          <w:tcPr>
            <w:tcW w:w="564" w:type="pct"/>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中国</w:t>
            </w:r>
          </w:p>
        </w:tc>
        <w:tc>
          <w:tcPr>
            <w:tcW w:w="566"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color w:val="000000"/>
                <w:spacing w:val="5"/>
                <w:sz w:val="18"/>
                <w:szCs w:val="18"/>
              </w:rPr>
              <w:t>ZL 2018 1 0054170.6</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2021年01月29日</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4224962</w:t>
            </w:r>
          </w:p>
        </w:tc>
        <w:tc>
          <w:tcPr>
            <w:tcW w:w="564"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中国人民解放军第四军医大学</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张慧楠、丛杨、马雪、孟静茹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07" w:type="pct"/>
            <w:tcBorders>
              <w:top w:val="single" w:color="auto" w:sz="8" w:space="0"/>
              <w:left w:val="single" w:color="auto" w:sz="8" w:space="0"/>
              <w:bottom w:val="single" w:color="auto" w:sz="8" w:space="0"/>
              <w:right w:val="single" w:color="auto" w:sz="8" w:space="0"/>
            </w:tcBorders>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7</w:t>
            </w:r>
          </w:p>
        </w:tc>
        <w:tc>
          <w:tcPr>
            <w:tcW w:w="564" w:type="pct"/>
            <w:tcBorders>
              <w:top w:val="single" w:color="auto" w:sz="8" w:space="0"/>
              <w:left w:val="single" w:color="auto" w:sz="8" w:space="0"/>
              <w:bottom w:val="single" w:color="auto" w:sz="8" w:space="0"/>
              <w:right w:val="single" w:color="auto" w:sz="8" w:space="0"/>
            </w:tcBorders>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发明专利</w:t>
            </w:r>
          </w:p>
        </w:tc>
        <w:tc>
          <w:tcPr>
            <w:tcW w:w="846"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一类苯并吡喃类化合物及其应用</w:t>
            </w:r>
          </w:p>
        </w:tc>
        <w:tc>
          <w:tcPr>
            <w:tcW w:w="564" w:type="pct"/>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中国</w:t>
            </w:r>
          </w:p>
        </w:tc>
        <w:tc>
          <w:tcPr>
            <w:tcW w:w="566"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color w:val="000000"/>
                <w:spacing w:val="5"/>
                <w:sz w:val="18"/>
                <w:szCs w:val="18"/>
              </w:rPr>
              <w:t>ZL 2017 1 0324966.4</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2020年05月08日</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3786798</w:t>
            </w:r>
          </w:p>
        </w:tc>
        <w:tc>
          <w:tcPr>
            <w:tcW w:w="564"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中国人民解放军第四军医大学</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李明凯、张靳伟、罗礼阳、曲迪、于轶泽、李靖、罗晓星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07" w:type="pct"/>
            <w:tcBorders>
              <w:top w:val="single" w:color="auto" w:sz="8" w:space="0"/>
              <w:left w:val="single" w:color="auto" w:sz="8" w:space="0"/>
              <w:bottom w:val="single" w:color="auto" w:sz="8" w:space="0"/>
              <w:right w:val="single" w:color="auto" w:sz="8" w:space="0"/>
            </w:tcBorders>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8</w:t>
            </w:r>
          </w:p>
        </w:tc>
        <w:tc>
          <w:tcPr>
            <w:tcW w:w="564" w:type="pct"/>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实用新型</w:t>
            </w:r>
          </w:p>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专利</w:t>
            </w:r>
          </w:p>
        </w:tc>
        <w:tc>
          <w:tcPr>
            <w:tcW w:w="846"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一种神经兴奋探针</w:t>
            </w:r>
          </w:p>
        </w:tc>
        <w:tc>
          <w:tcPr>
            <w:tcW w:w="564" w:type="pct"/>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中国</w:t>
            </w:r>
          </w:p>
        </w:tc>
        <w:tc>
          <w:tcPr>
            <w:tcW w:w="566"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color w:val="000000"/>
                <w:spacing w:val="5"/>
                <w:sz w:val="18"/>
                <w:szCs w:val="18"/>
              </w:rPr>
              <w:t>ZL2020 2 2369251.0</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2021年07月09日</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13634399</w:t>
            </w:r>
          </w:p>
        </w:tc>
        <w:tc>
          <w:tcPr>
            <w:tcW w:w="564"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中国人民解放军空军军医大学</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戴舒惠、李侠、费舟、蒋晓帆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07" w:type="pct"/>
            <w:tcBorders>
              <w:top w:val="single" w:color="auto" w:sz="8" w:space="0"/>
              <w:left w:val="single" w:color="auto" w:sz="8" w:space="0"/>
              <w:bottom w:val="single" w:color="auto" w:sz="8" w:space="0"/>
              <w:right w:val="single" w:color="auto" w:sz="8" w:space="0"/>
            </w:tcBorders>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9</w:t>
            </w:r>
          </w:p>
        </w:tc>
        <w:tc>
          <w:tcPr>
            <w:tcW w:w="564" w:type="pct"/>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实用新型</w:t>
            </w:r>
          </w:p>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专利</w:t>
            </w:r>
          </w:p>
        </w:tc>
        <w:tc>
          <w:tcPr>
            <w:tcW w:w="846"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适用于颅脑战创伤患者的转运装置</w:t>
            </w:r>
          </w:p>
        </w:tc>
        <w:tc>
          <w:tcPr>
            <w:tcW w:w="564" w:type="pct"/>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中国</w:t>
            </w:r>
          </w:p>
        </w:tc>
        <w:tc>
          <w:tcPr>
            <w:tcW w:w="566"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ZL 2020 20497519.6</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2021年04月30日</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13063328</w:t>
            </w:r>
          </w:p>
        </w:tc>
        <w:tc>
          <w:tcPr>
            <w:tcW w:w="564"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中国人民解放军空军军医大学</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王娟、谢莉、张美霞、郝佩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07" w:type="pct"/>
            <w:tcBorders>
              <w:top w:val="single" w:color="auto" w:sz="8" w:space="0"/>
              <w:left w:val="single" w:color="auto" w:sz="8" w:space="0"/>
              <w:bottom w:val="single" w:color="auto" w:sz="8" w:space="0"/>
              <w:right w:val="single" w:color="auto" w:sz="8" w:space="0"/>
            </w:tcBorders>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10</w:t>
            </w:r>
          </w:p>
        </w:tc>
        <w:tc>
          <w:tcPr>
            <w:tcW w:w="564" w:type="pct"/>
            <w:vAlign w:val="center"/>
          </w:tcPr>
          <w:p>
            <w:pPr>
              <w:pStyle w:val="4"/>
              <w:spacing w:line="240" w:lineRule="exact"/>
              <w:ind w:firstLine="0" w:firstLineChars="0"/>
              <w:jc w:val="center"/>
              <w:rPr>
                <w:rFonts w:ascii="Times New Roman" w:eastAsia="宋体" w:cs="Times New Roman"/>
                <w:sz w:val="18"/>
                <w:szCs w:val="18"/>
              </w:rPr>
            </w:pPr>
            <w:r>
              <w:rPr>
                <w:rFonts w:hint="eastAsia" w:ascii="Times New Roman" w:eastAsia="宋体" w:cs="Times New Roman"/>
                <w:sz w:val="18"/>
                <w:szCs w:val="18"/>
              </w:rPr>
              <w:t>计算机软件著作权</w:t>
            </w:r>
          </w:p>
        </w:tc>
        <w:tc>
          <w:tcPr>
            <w:tcW w:w="846" w:type="pct"/>
            <w:vAlign w:val="center"/>
          </w:tcPr>
          <w:p>
            <w:pPr>
              <w:pStyle w:val="4"/>
              <w:spacing w:line="240" w:lineRule="exact"/>
              <w:ind w:firstLine="0" w:firstLineChars="0"/>
              <w:jc w:val="center"/>
              <w:rPr>
                <w:rFonts w:ascii="Times New Roman" w:eastAsia="宋体" w:cs="Times New Roman"/>
                <w:sz w:val="18"/>
                <w:szCs w:val="18"/>
              </w:rPr>
            </w:pPr>
            <w:r>
              <w:rPr>
                <w:rFonts w:hint="eastAsia" w:ascii="Times New Roman" w:eastAsia="宋体" w:cs="Times New Roman"/>
                <w:sz w:val="18"/>
                <w:szCs w:val="18"/>
              </w:rPr>
              <w:t>神经外科手术设计方案管理系统V1.0</w:t>
            </w:r>
          </w:p>
        </w:tc>
        <w:tc>
          <w:tcPr>
            <w:tcW w:w="564" w:type="pct"/>
            <w:vAlign w:val="center"/>
          </w:tcPr>
          <w:p>
            <w:pPr>
              <w:pStyle w:val="4"/>
              <w:spacing w:line="240" w:lineRule="exact"/>
              <w:ind w:firstLine="0" w:firstLineChars="0"/>
              <w:jc w:val="center"/>
              <w:rPr>
                <w:rFonts w:ascii="Times New Roman" w:eastAsia="宋体" w:cs="Times New Roman"/>
                <w:sz w:val="18"/>
                <w:szCs w:val="18"/>
              </w:rPr>
            </w:pPr>
            <w:r>
              <w:rPr>
                <w:rFonts w:ascii="Times New Roman" w:eastAsia="宋体" w:cs="Times New Roman"/>
                <w:sz w:val="18"/>
                <w:szCs w:val="18"/>
              </w:rPr>
              <w:t>中国</w:t>
            </w:r>
          </w:p>
        </w:tc>
        <w:tc>
          <w:tcPr>
            <w:tcW w:w="566"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2021SR1971652</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2021年12月02</w:t>
            </w:r>
            <w:r>
              <w:rPr>
                <w:rFonts w:hint="eastAsia" w:ascii="Times New Roman" w:eastAsia="宋体" w:cs="Times New Roman"/>
                <w:sz w:val="18"/>
                <w:szCs w:val="18"/>
              </w:rPr>
              <w:t>日</w:t>
            </w:r>
          </w:p>
        </w:tc>
        <w:tc>
          <w:tcPr>
            <w:tcW w:w="563" w:type="pct"/>
            <w:vAlign w:val="center"/>
          </w:tcPr>
          <w:p>
            <w:pPr>
              <w:pStyle w:val="4"/>
              <w:spacing w:line="240" w:lineRule="exact"/>
              <w:ind w:firstLine="0" w:firstLineChars="0"/>
              <w:jc w:val="left"/>
              <w:rPr>
                <w:rFonts w:ascii="Times New Roman" w:eastAsia="宋体" w:cs="Times New Roman"/>
                <w:sz w:val="18"/>
                <w:szCs w:val="18"/>
              </w:rPr>
            </w:pPr>
            <w:bookmarkStart w:id="0" w:name="OLE_LINK1"/>
            <w:r>
              <w:rPr>
                <w:rFonts w:ascii="Times New Roman" w:eastAsia="宋体" w:cs="Times New Roman"/>
                <w:sz w:val="18"/>
                <w:szCs w:val="18"/>
              </w:rPr>
              <w:t>8694278</w:t>
            </w:r>
            <w:bookmarkEnd w:id="0"/>
          </w:p>
        </w:tc>
        <w:tc>
          <w:tcPr>
            <w:tcW w:w="564"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中国人民解放军空军军医大学</w:t>
            </w:r>
          </w:p>
        </w:tc>
        <w:tc>
          <w:tcPr>
            <w:tcW w:w="563" w:type="pct"/>
            <w:vAlign w:val="center"/>
          </w:tcPr>
          <w:p>
            <w:pPr>
              <w:pStyle w:val="4"/>
              <w:spacing w:line="240" w:lineRule="exact"/>
              <w:ind w:firstLine="0" w:firstLineChars="0"/>
              <w:jc w:val="left"/>
              <w:rPr>
                <w:rFonts w:ascii="Times New Roman" w:eastAsia="宋体" w:cs="Times New Roman"/>
                <w:sz w:val="18"/>
                <w:szCs w:val="18"/>
              </w:rPr>
            </w:pPr>
            <w:r>
              <w:rPr>
                <w:rFonts w:ascii="Times New Roman" w:eastAsia="宋体" w:cs="Times New Roman"/>
                <w:sz w:val="18"/>
                <w:szCs w:val="18"/>
              </w:rPr>
              <w:t>张磊</w:t>
            </w:r>
          </w:p>
        </w:tc>
      </w:tr>
    </w:tbl>
    <w:p>
      <w:pPr>
        <w:pStyle w:val="13"/>
        <w:ind w:left="420" w:firstLine="0" w:firstLineChars="0"/>
        <w:rPr>
          <w:rFonts w:ascii="Times New Roman" w:hAnsi="Times New Roman" w:eastAsia="仿宋_GB2312" w:cs="Times New Roman"/>
          <w:bCs/>
          <w:spacing w:val="2"/>
          <w:sz w:val="24"/>
        </w:rPr>
      </w:pPr>
    </w:p>
    <w:p>
      <w:pPr>
        <w:rPr>
          <w:rFonts w:ascii="Times New Roman" w:hAnsi="Times New Roman" w:eastAsia="仿宋_GB2312" w:cs="Times New Roman"/>
          <w:sz w:val="32"/>
        </w:rPr>
      </w:pPr>
      <w:r>
        <w:rPr>
          <w:rFonts w:ascii="Times New Roman" w:hAnsi="Times New Roman" w:eastAsia="仿宋_GB2312" w:cs="Times New Roman"/>
          <w:sz w:val="32"/>
        </w:rPr>
        <w:t>十、完成人合作关系说明</w:t>
      </w:r>
    </w:p>
    <w:p>
      <w:pPr>
        <w:ind w:firstLine="640" w:firstLineChars="200"/>
        <w:rPr>
          <w:rFonts w:ascii="Times New Roman" w:hAnsi="Times New Roman" w:eastAsia="仿宋_GB2312" w:cs="Times New Roman"/>
          <w:sz w:val="32"/>
        </w:rPr>
      </w:pPr>
      <w:r>
        <w:rPr>
          <w:rFonts w:ascii="Times New Roman" w:hAnsi="Times New Roman" w:eastAsia="仿宋_GB2312" w:cs="Times New Roman"/>
          <w:sz w:val="32"/>
        </w:rPr>
        <w:t>完成本成果</w:t>
      </w:r>
      <w:r>
        <w:rPr>
          <w:rFonts w:hint="eastAsia" w:ascii="Times New Roman" w:hAnsi="Times New Roman" w:eastAsia="仿宋_GB2312" w:cs="Times New Roman"/>
          <w:sz w:val="32"/>
        </w:rPr>
        <w:t>的9名完成人</w:t>
      </w:r>
      <w:r>
        <w:rPr>
          <w:rFonts w:ascii="Times New Roman" w:hAnsi="Times New Roman" w:eastAsia="仿宋_GB2312" w:cs="Times New Roman"/>
          <w:sz w:val="32"/>
        </w:rPr>
        <w:t>围绕缺血性脑卒中这一临床重大难题，充分发挥学科优势，密切合作，在机制探索发现、靶点药物筛选、继发损害防治、手术策略创新等方面深入研究，充分交流，技术互补，取得系列成果。</w:t>
      </w:r>
      <w:r>
        <w:rPr>
          <w:rFonts w:hint="eastAsia" w:ascii="Times New Roman" w:hAnsi="Times New Roman" w:eastAsia="仿宋_GB2312" w:cs="Times New Roman"/>
          <w:sz w:val="32"/>
        </w:rPr>
        <w:t>作为第一完成人，我所在科室为</w:t>
      </w:r>
      <w:r>
        <w:rPr>
          <w:rFonts w:ascii="Times New Roman" w:hAnsi="Times New Roman" w:eastAsia="仿宋_GB2312" w:cs="Times New Roman"/>
          <w:sz w:val="32"/>
        </w:rPr>
        <w:t>第一附属医院</w:t>
      </w:r>
      <w:r>
        <w:rPr>
          <w:rFonts w:hint="eastAsia" w:ascii="Times New Roman" w:hAnsi="Times New Roman" w:eastAsia="仿宋_GB2312" w:cs="Times New Roman"/>
          <w:sz w:val="32"/>
        </w:rPr>
        <w:t>神经外科，</w:t>
      </w:r>
      <w:r>
        <w:rPr>
          <w:rFonts w:ascii="Times New Roman" w:hAnsi="Times New Roman" w:eastAsia="仿宋_GB2312" w:cs="Times New Roman"/>
          <w:sz w:val="32"/>
        </w:rPr>
        <w:t>是全军神经外科研究所，</w:t>
      </w:r>
      <w:r>
        <w:rPr>
          <w:rFonts w:hint="eastAsia" w:ascii="Times New Roman" w:hAnsi="Times New Roman" w:eastAsia="仿宋_GB2312" w:cs="Times New Roman"/>
          <w:sz w:val="32"/>
        </w:rPr>
        <w:t>与同科室讲师戴舒惠、张磊合作，</w:t>
      </w:r>
      <w:r>
        <w:rPr>
          <w:rFonts w:ascii="Times New Roman" w:hAnsi="Times New Roman" w:eastAsia="仿宋_GB2312" w:cs="Times New Roman"/>
          <w:sz w:val="32"/>
        </w:rPr>
        <w:t>负责研究的总体设计和质量控制，在缺血性脑卒中模型制备、分子机制研究和行为学检测等方面积累了丰富的经验，为同完成相关研究奠定了基础；同时，将</w:t>
      </w:r>
      <w:r>
        <w:rPr>
          <w:rFonts w:hint="eastAsia" w:ascii="Times New Roman" w:hAnsi="Times New Roman" w:eastAsia="仿宋_GB2312" w:cs="Times New Roman"/>
          <w:sz w:val="32"/>
        </w:rPr>
        <w:t>神经外科护士长王娟</w:t>
      </w:r>
      <w:r>
        <w:rPr>
          <w:rFonts w:ascii="Times New Roman" w:hAnsi="Times New Roman" w:eastAsia="仿宋_GB2312" w:cs="Times New Roman"/>
          <w:sz w:val="32"/>
        </w:rPr>
        <w:t>所获得的临床研究数据共享，为基础研究提出了方向。</w:t>
      </w:r>
      <w:r>
        <w:rPr>
          <w:rFonts w:hint="eastAsia" w:ascii="Times New Roman" w:hAnsi="Times New Roman" w:eastAsia="仿宋_GB2312" w:cs="Times New Roman"/>
          <w:sz w:val="32"/>
        </w:rPr>
        <w:t>与</w:t>
      </w:r>
      <w:r>
        <w:rPr>
          <w:rFonts w:ascii="Times New Roman" w:hAnsi="Times New Roman" w:eastAsia="仿宋_GB2312" w:cs="Times New Roman"/>
          <w:sz w:val="32"/>
        </w:rPr>
        <w:t>空军军医大学药学系</w:t>
      </w:r>
      <w:r>
        <w:rPr>
          <w:rFonts w:hint="eastAsia" w:ascii="Times New Roman" w:hAnsi="Times New Roman" w:eastAsia="仿宋_GB2312" w:cs="Times New Roman"/>
          <w:sz w:val="32"/>
        </w:rPr>
        <w:t>药理学教研室主任李明凯、副主任马雪合作，</w:t>
      </w:r>
      <w:r>
        <w:rPr>
          <w:rFonts w:ascii="Times New Roman" w:hAnsi="Times New Roman" w:eastAsia="仿宋_GB2312" w:cs="Times New Roman"/>
          <w:sz w:val="32"/>
        </w:rPr>
        <w:t>多年来一直致力于脑卒中后神经损伤、神经保护以及继发性损害的机制研究，已经取得了部分重要成果并合成了针对关键靶点的系列小分子化合物。</w:t>
      </w:r>
      <w:r>
        <w:rPr>
          <w:rFonts w:hint="eastAsia" w:ascii="Times New Roman" w:hAnsi="Times New Roman" w:eastAsia="仿宋_GB2312" w:cs="Times New Roman"/>
          <w:sz w:val="32"/>
        </w:rPr>
        <w:t>与</w:t>
      </w:r>
      <w:r>
        <w:rPr>
          <w:rFonts w:ascii="Times New Roman" w:hAnsi="Times New Roman" w:eastAsia="仿宋_GB2312" w:cs="Times New Roman"/>
          <w:sz w:val="32"/>
        </w:rPr>
        <w:t>空军军医大学第二附属医院</w:t>
      </w:r>
      <w:r>
        <w:rPr>
          <w:rFonts w:hint="eastAsia" w:ascii="Times New Roman" w:hAnsi="Times New Roman" w:eastAsia="仿宋_GB2312" w:cs="Times New Roman"/>
          <w:sz w:val="32"/>
        </w:rPr>
        <w:t>健康管理科张慧楠、黄婧合作</w:t>
      </w:r>
      <w:r>
        <w:rPr>
          <w:rFonts w:ascii="Times New Roman" w:hAnsi="Times New Roman" w:eastAsia="仿宋_GB2312" w:cs="Times New Roman"/>
          <w:sz w:val="32"/>
        </w:rPr>
        <w:t>揭示了部分神经损伤的关键分子机制。综上，通过共同完成本成果</w:t>
      </w:r>
      <w:r>
        <w:rPr>
          <w:rFonts w:hint="eastAsia" w:ascii="Times New Roman" w:hAnsi="Times New Roman" w:eastAsia="仿宋_GB2312" w:cs="Times New Roman"/>
          <w:sz w:val="32"/>
        </w:rPr>
        <w:t>，9名完成人</w:t>
      </w:r>
      <w:r>
        <w:rPr>
          <w:rFonts w:ascii="Times New Roman" w:hAnsi="Times New Roman" w:eastAsia="仿宋_GB2312" w:cs="Times New Roman"/>
          <w:sz w:val="32"/>
        </w:rPr>
        <w:t>形成了稳定的科研平台共享、技术互补、定期会商，共同分享科研成果的合作关系。</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72563499"/>
      <w:docPartObj>
        <w:docPartGallery w:val="AutoText"/>
      </w:docPartObj>
    </w:sdtPr>
    <w:sdtContent>
      <w:p>
        <w:pPr>
          <w:pStyle w:val="6"/>
          <w:jc w:val="center"/>
        </w:pPr>
        <w:r>
          <w:fldChar w:fldCharType="begin"/>
        </w:r>
        <w:r>
          <w:instrText xml:space="preserve">PAGE   \* MERGEFORMAT</w:instrText>
        </w:r>
        <w:r>
          <w:fldChar w:fldCharType="separate"/>
        </w:r>
        <w:r>
          <w:rPr>
            <w:lang w:val="zh-CN"/>
          </w:rPr>
          <w:t>10</w:t>
        </w:r>
        <w: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E4MjlhNWY4YTJlZGRjMjk2MDJmNThkMWNlZWViOGIifQ=="/>
  </w:docVars>
  <w:rsids>
    <w:rsidRoot w:val="0063432F"/>
    <w:rsid w:val="00005ED5"/>
    <w:rsid w:val="00006BD0"/>
    <w:rsid w:val="00011E68"/>
    <w:rsid w:val="00017629"/>
    <w:rsid w:val="00024A5F"/>
    <w:rsid w:val="00030F58"/>
    <w:rsid w:val="00084FD4"/>
    <w:rsid w:val="00091D90"/>
    <w:rsid w:val="000A6E42"/>
    <w:rsid w:val="000C0248"/>
    <w:rsid w:val="000E3C7B"/>
    <w:rsid w:val="000F1138"/>
    <w:rsid w:val="000F46FE"/>
    <w:rsid w:val="00100605"/>
    <w:rsid w:val="00137D0F"/>
    <w:rsid w:val="00141DE4"/>
    <w:rsid w:val="00144648"/>
    <w:rsid w:val="0014707E"/>
    <w:rsid w:val="00161E8D"/>
    <w:rsid w:val="001820FE"/>
    <w:rsid w:val="001A0BAA"/>
    <w:rsid w:val="001C1F2E"/>
    <w:rsid w:val="00205A80"/>
    <w:rsid w:val="00207A6C"/>
    <w:rsid w:val="00222A86"/>
    <w:rsid w:val="00232042"/>
    <w:rsid w:val="002757D1"/>
    <w:rsid w:val="00282ECA"/>
    <w:rsid w:val="002B2CD4"/>
    <w:rsid w:val="002C2CFE"/>
    <w:rsid w:val="002D566F"/>
    <w:rsid w:val="002E089F"/>
    <w:rsid w:val="002E1A70"/>
    <w:rsid w:val="002E79D3"/>
    <w:rsid w:val="00321BFE"/>
    <w:rsid w:val="0034598A"/>
    <w:rsid w:val="003813EB"/>
    <w:rsid w:val="0038247B"/>
    <w:rsid w:val="0039010D"/>
    <w:rsid w:val="0039606F"/>
    <w:rsid w:val="003A59CA"/>
    <w:rsid w:val="003A6EB8"/>
    <w:rsid w:val="003B52BD"/>
    <w:rsid w:val="003C2782"/>
    <w:rsid w:val="003C3C1E"/>
    <w:rsid w:val="003E1B35"/>
    <w:rsid w:val="003E5DC8"/>
    <w:rsid w:val="00403256"/>
    <w:rsid w:val="00443211"/>
    <w:rsid w:val="00446985"/>
    <w:rsid w:val="00451D51"/>
    <w:rsid w:val="00455116"/>
    <w:rsid w:val="00456392"/>
    <w:rsid w:val="00460193"/>
    <w:rsid w:val="0046066C"/>
    <w:rsid w:val="00481464"/>
    <w:rsid w:val="00483016"/>
    <w:rsid w:val="004A056D"/>
    <w:rsid w:val="004A2807"/>
    <w:rsid w:val="004C6B82"/>
    <w:rsid w:val="004D3951"/>
    <w:rsid w:val="004D664B"/>
    <w:rsid w:val="004F07D6"/>
    <w:rsid w:val="005020E2"/>
    <w:rsid w:val="00505DF5"/>
    <w:rsid w:val="005167E3"/>
    <w:rsid w:val="00526C9F"/>
    <w:rsid w:val="005675C8"/>
    <w:rsid w:val="00572C09"/>
    <w:rsid w:val="005B53AA"/>
    <w:rsid w:val="005E1C1D"/>
    <w:rsid w:val="005E2361"/>
    <w:rsid w:val="005E3316"/>
    <w:rsid w:val="005E3D3A"/>
    <w:rsid w:val="005E6094"/>
    <w:rsid w:val="00601432"/>
    <w:rsid w:val="00607C0B"/>
    <w:rsid w:val="006104DC"/>
    <w:rsid w:val="00612C67"/>
    <w:rsid w:val="00617E2C"/>
    <w:rsid w:val="0062780A"/>
    <w:rsid w:val="00632F2D"/>
    <w:rsid w:val="0063432F"/>
    <w:rsid w:val="00646C78"/>
    <w:rsid w:val="00654543"/>
    <w:rsid w:val="0065583C"/>
    <w:rsid w:val="00672C56"/>
    <w:rsid w:val="00680974"/>
    <w:rsid w:val="00681C48"/>
    <w:rsid w:val="00682E74"/>
    <w:rsid w:val="00687E5D"/>
    <w:rsid w:val="006933AC"/>
    <w:rsid w:val="006961C7"/>
    <w:rsid w:val="006F6FB0"/>
    <w:rsid w:val="00761210"/>
    <w:rsid w:val="0076501D"/>
    <w:rsid w:val="00777D22"/>
    <w:rsid w:val="007A3BB7"/>
    <w:rsid w:val="007B0FFB"/>
    <w:rsid w:val="007D4DBB"/>
    <w:rsid w:val="007E6C6D"/>
    <w:rsid w:val="007F4D98"/>
    <w:rsid w:val="008122E4"/>
    <w:rsid w:val="0082098C"/>
    <w:rsid w:val="00841B73"/>
    <w:rsid w:val="00843DE9"/>
    <w:rsid w:val="00861900"/>
    <w:rsid w:val="00890BFC"/>
    <w:rsid w:val="008A033B"/>
    <w:rsid w:val="008B3564"/>
    <w:rsid w:val="008E13F5"/>
    <w:rsid w:val="008E1DDF"/>
    <w:rsid w:val="008E4A93"/>
    <w:rsid w:val="008F7C47"/>
    <w:rsid w:val="00935173"/>
    <w:rsid w:val="00947217"/>
    <w:rsid w:val="0094757C"/>
    <w:rsid w:val="00975418"/>
    <w:rsid w:val="00975BE3"/>
    <w:rsid w:val="009A4DF9"/>
    <w:rsid w:val="009D3C05"/>
    <w:rsid w:val="009F0B36"/>
    <w:rsid w:val="009F0DF9"/>
    <w:rsid w:val="00A011DD"/>
    <w:rsid w:val="00A4178F"/>
    <w:rsid w:val="00A41E3A"/>
    <w:rsid w:val="00A42643"/>
    <w:rsid w:val="00A47CD8"/>
    <w:rsid w:val="00A52D8A"/>
    <w:rsid w:val="00A91F16"/>
    <w:rsid w:val="00AA5EFB"/>
    <w:rsid w:val="00AA5F2B"/>
    <w:rsid w:val="00AC034F"/>
    <w:rsid w:val="00AE2F53"/>
    <w:rsid w:val="00AF0CE5"/>
    <w:rsid w:val="00AF349A"/>
    <w:rsid w:val="00AF6D97"/>
    <w:rsid w:val="00B07CBE"/>
    <w:rsid w:val="00B170E3"/>
    <w:rsid w:val="00B21393"/>
    <w:rsid w:val="00B265E3"/>
    <w:rsid w:val="00B56925"/>
    <w:rsid w:val="00B7192A"/>
    <w:rsid w:val="00BC2009"/>
    <w:rsid w:val="00BC79A7"/>
    <w:rsid w:val="00BF2A76"/>
    <w:rsid w:val="00BF7436"/>
    <w:rsid w:val="00C06141"/>
    <w:rsid w:val="00C102A9"/>
    <w:rsid w:val="00C30E57"/>
    <w:rsid w:val="00C37D30"/>
    <w:rsid w:val="00C545D3"/>
    <w:rsid w:val="00C6469E"/>
    <w:rsid w:val="00C70A07"/>
    <w:rsid w:val="00C81B71"/>
    <w:rsid w:val="00C86A7C"/>
    <w:rsid w:val="00C87F31"/>
    <w:rsid w:val="00CD167A"/>
    <w:rsid w:val="00CD4341"/>
    <w:rsid w:val="00CF0F7A"/>
    <w:rsid w:val="00D11A1B"/>
    <w:rsid w:val="00D74A0A"/>
    <w:rsid w:val="00D7601D"/>
    <w:rsid w:val="00DA00D4"/>
    <w:rsid w:val="00DA2694"/>
    <w:rsid w:val="00DB7B74"/>
    <w:rsid w:val="00DD324D"/>
    <w:rsid w:val="00DD63C7"/>
    <w:rsid w:val="00DD6E45"/>
    <w:rsid w:val="00DF6F15"/>
    <w:rsid w:val="00E02510"/>
    <w:rsid w:val="00E21E3C"/>
    <w:rsid w:val="00E66F96"/>
    <w:rsid w:val="00E77672"/>
    <w:rsid w:val="00E84AEF"/>
    <w:rsid w:val="00E8564E"/>
    <w:rsid w:val="00E956FE"/>
    <w:rsid w:val="00EB2D5E"/>
    <w:rsid w:val="00EE0302"/>
    <w:rsid w:val="00EE2289"/>
    <w:rsid w:val="00EF3ABA"/>
    <w:rsid w:val="00EF4646"/>
    <w:rsid w:val="00EF6750"/>
    <w:rsid w:val="00F1036B"/>
    <w:rsid w:val="00F10C03"/>
    <w:rsid w:val="00F3145E"/>
    <w:rsid w:val="00F44202"/>
    <w:rsid w:val="00F4727F"/>
    <w:rsid w:val="00F56144"/>
    <w:rsid w:val="00F653BD"/>
    <w:rsid w:val="00F7008E"/>
    <w:rsid w:val="00FA6E23"/>
    <w:rsid w:val="00FD7E5C"/>
    <w:rsid w:val="00FE08C3"/>
    <w:rsid w:val="00FF2A8E"/>
    <w:rsid w:val="00FF4F9A"/>
    <w:rsid w:val="00FF711E"/>
    <w:rsid w:val="54C81B1C"/>
    <w:rsid w:val="78E80C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semiHidden="0"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unhideWhenUsed/>
    <w:uiPriority w:val="39"/>
    <w:pPr>
      <w:ind w:left="2520" w:leftChars="1200"/>
    </w:pPr>
    <w:rPr>
      <w:rFonts w:ascii="等线" w:hAnsi="等线" w:eastAsia="等线" w:cs="Times New Roman"/>
    </w:rPr>
  </w:style>
  <w:style w:type="paragraph" w:styleId="3">
    <w:name w:val="annotation text"/>
    <w:basedOn w:val="1"/>
    <w:link w:val="18"/>
    <w:semiHidden/>
    <w:unhideWhenUsed/>
    <w:qFormat/>
    <w:uiPriority w:val="99"/>
    <w:pPr>
      <w:jc w:val="left"/>
    </w:pPr>
  </w:style>
  <w:style w:type="paragraph" w:styleId="4">
    <w:name w:val="Plain Text"/>
    <w:basedOn w:val="1"/>
    <w:link w:val="14"/>
    <w:qFormat/>
    <w:uiPriority w:val="0"/>
    <w:pPr>
      <w:spacing w:line="360" w:lineRule="auto"/>
      <w:ind w:firstLine="480" w:firstLineChars="200"/>
    </w:pPr>
    <w:rPr>
      <w:rFonts w:ascii="仿宋_GB2312" w:hAnsi="Times New Roman"/>
      <w:sz w:val="24"/>
    </w:rPr>
  </w:style>
  <w:style w:type="paragraph" w:styleId="5">
    <w:name w:val="Balloon Text"/>
    <w:basedOn w:val="1"/>
    <w:link w:val="20"/>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9"/>
    <w:semiHidden/>
    <w:unhideWhenUsed/>
    <w:qFormat/>
    <w:uiPriority w:val="99"/>
    <w:rPr>
      <w:b/>
      <w:bCs/>
    </w:rPr>
  </w:style>
  <w:style w:type="table" w:styleId="10">
    <w:name w:val="Table Grid"/>
    <w:basedOn w:val="9"/>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2">
    <w:name w:val="annotation reference"/>
    <w:basedOn w:val="11"/>
    <w:semiHidden/>
    <w:unhideWhenUsed/>
    <w:uiPriority w:val="99"/>
    <w:rPr>
      <w:sz w:val="21"/>
      <w:szCs w:val="21"/>
    </w:rPr>
  </w:style>
  <w:style w:type="paragraph" w:styleId="13">
    <w:name w:val="List Paragraph"/>
    <w:basedOn w:val="1"/>
    <w:qFormat/>
    <w:uiPriority w:val="34"/>
    <w:pPr>
      <w:ind w:firstLine="420" w:firstLineChars="200"/>
    </w:pPr>
  </w:style>
  <w:style w:type="character" w:customStyle="1" w:styleId="14">
    <w:name w:val="纯文本 Char1"/>
    <w:link w:val="4"/>
    <w:uiPriority w:val="0"/>
    <w:rPr>
      <w:rFonts w:ascii="仿宋_GB2312" w:hAnsi="Times New Roman"/>
      <w:sz w:val="24"/>
    </w:rPr>
  </w:style>
  <w:style w:type="character" w:customStyle="1" w:styleId="15">
    <w:name w:val="纯文本 Char"/>
    <w:basedOn w:val="11"/>
    <w:semiHidden/>
    <w:uiPriority w:val="99"/>
    <w:rPr>
      <w:rFonts w:ascii="宋体" w:hAnsi="Courier New" w:eastAsia="宋体" w:cs="Courier New"/>
      <w:szCs w:val="21"/>
    </w:rPr>
  </w:style>
  <w:style w:type="character" w:customStyle="1" w:styleId="16">
    <w:name w:val="页眉 Char"/>
    <w:basedOn w:val="11"/>
    <w:link w:val="7"/>
    <w:uiPriority w:val="99"/>
    <w:rPr>
      <w:sz w:val="18"/>
      <w:szCs w:val="18"/>
    </w:rPr>
  </w:style>
  <w:style w:type="character" w:customStyle="1" w:styleId="17">
    <w:name w:val="页脚 Char"/>
    <w:basedOn w:val="11"/>
    <w:link w:val="6"/>
    <w:qFormat/>
    <w:uiPriority w:val="99"/>
    <w:rPr>
      <w:sz w:val="18"/>
      <w:szCs w:val="18"/>
    </w:rPr>
  </w:style>
  <w:style w:type="character" w:customStyle="1" w:styleId="18">
    <w:name w:val="批注文字 Char"/>
    <w:basedOn w:val="11"/>
    <w:link w:val="3"/>
    <w:semiHidden/>
    <w:uiPriority w:val="99"/>
  </w:style>
  <w:style w:type="character" w:customStyle="1" w:styleId="19">
    <w:name w:val="批注主题 Char"/>
    <w:basedOn w:val="18"/>
    <w:link w:val="8"/>
    <w:semiHidden/>
    <w:qFormat/>
    <w:uiPriority w:val="99"/>
    <w:rPr>
      <w:b/>
      <w:bCs/>
    </w:rPr>
  </w:style>
  <w:style w:type="character" w:customStyle="1" w:styleId="20">
    <w:name w:val="批注框文本 Char"/>
    <w:basedOn w:val="11"/>
    <w:link w:val="5"/>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Company</Company>
  <Pages>10</Pages>
  <Words>6360</Words>
  <Characters>8180</Characters>
  <Lines>61</Lines>
  <Paragraphs>17</Paragraphs>
  <TotalTime>33</TotalTime>
  <ScaleCrop>false</ScaleCrop>
  <LinksUpToDate>false</LinksUpToDate>
  <CharactersWithSpaces>8361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2022-06-20T03:27:00Z</dcterms:created>
  <dc:creator>NTKO</dc:creator>
  <cp:lastModifiedBy>37046</cp:lastModifiedBy>
  <cp:lastPrinted>2022-06-20T03:34:00Z</cp:lastPrinted>
  <dcterms:modified xsi:type="dcterms:W3CDTF">2022-06-30T15:02:14Z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ECB03C59C3914FD39391C315B6C751DC</vt:lpwstr>
  </property>
</Properties>
</file>