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eastAsia="宋体" w:cs="宋体"/>
          <w:sz w:val="24"/>
          <w:szCs w:val="24"/>
        </w:rPr>
      </w:pPr>
      <w:r>
        <w:rPr>
          <w:rFonts w:hint="eastAsia" w:ascii="宋体" w:hAnsi="宋体" w:eastAsia="宋体" w:cs="宋体"/>
          <w:sz w:val="24"/>
          <w:szCs w:val="24"/>
        </w:rPr>
        <w:t>一、项目名称</w:t>
      </w:r>
    </w:p>
    <w:p>
      <w:pPr>
        <w:pStyle w:val="10"/>
        <w:ind w:left="420" w:firstLine="0" w:firstLineChars="0"/>
        <w:rPr>
          <w:rFonts w:ascii="宋体" w:hAnsi="宋体" w:eastAsia="宋体" w:cs="宋体"/>
          <w:sz w:val="24"/>
          <w:szCs w:val="24"/>
        </w:rPr>
      </w:pPr>
      <w:r>
        <w:rPr>
          <w:rFonts w:hint="eastAsia" w:ascii="宋体" w:hAnsi="宋体" w:eastAsia="宋体" w:cs="宋体"/>
          <w:sz w:val="24"/>
          <w:szCs w:val="24"/>
        </w:rPr>
        <w:t>围手术期关键技术创新在胃癌中的应用与推广</w:t>
      </w:r>
    </w:p>
    <w:p>
      <w:pPr>
        <w:pStyle w:val="10"/>
        <w:ind w:left="420" w:firstLine="0" w:firstLineChars="0"/>
        <w:rPr>
          <w:rFonts w:ascii="宋体" w:hAnsi="宋体" w:eastAsia="宋体" w:cs="宋体"/>
          <w:sz w:val="24"/>
          <w:szCs w:val="24"/>
        </w:rPr>
      </w:pPr>
    </w:p>
    <w:p>
      <w:pPr>
        <w:rPr>
          <w:rFonts w:ascii="宋体" w:hAnsi="宋体" w:eastAsia="宋体" w:cs="宋体"/>
          <w:sz w:val="24"/>
          <w:szCs w:val="24"/>
        </w:rPr>
      </w:pPr>
      <w:r>
        <w:rPr>
          <w:rFonts w:hint="eastAsia" w:ascii="宋体" w:hAnsi="宋体" w:eastAsia="宋体" w:cs="宋体"/>
          <w:sz w:val="24"/>
          <w:szCs w:val="24"/>
        </w:rPr>
        <w:t>二、主要完成人</w:t>
      </w:r>
    </w:p>
    <w:tbl>
      <w:tblPr>
        <w:tblStyle w:val="8"/>
        <w:tblW w:w="9039"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85"/>
        <w:gridCol w:w="720"/>
        <w:gridCol w:w="1013"/>
        <w:gridCol w:w="1080"/>
        <w:gridCol w:w="1350"/>
        <w:gridCol w:w="1350"/>
        <w:gridCol w:w="254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85" w:type="dxa"/>
          </w:tcPr>
          <w:p>
            <w:pPr>
              <w:jc w:val="center"/>
              <w:rPr>
                <w:rFonts w:ascii="宋体" w:hAnsi="宋体" w:eastAsia="宋体" w:cs="宋体"/>
                <w:sz w:val="24"/>
                <w:szCs w:val="24"/>
              </w:rPr>
            </w:pPr>
            <w:r>
              <w:rPr>
                <w:rFonts w:hint="eastAsia" w:ascii="宋体" w:hAnsi="宋体" w:eastAsia="宋体" w:cs="宋体"/>
                <w:sz w:val="24"/>
                <w:szCs w:val="24"/>
              </w:rPr>
              <w:t>姓名</w:t>
            </w:r>
          </w:p>
        </w:tc>
        <w:tc>
          <w:tcPr>
            <w:tcW w:w="720" w:type="dxa"/>
          </w:tcPr>
          <w:p>
            <w:pPr>
              <w:jc w:val="center"/>
              <w:rPr>
                <w:rFonts w:ascii="宋体" w:hAnsi="宋体" w:eastAsia="宋体" w:cs="宋体"/>
                <w:sz w:val="24"/>
                <w:szCs w:val="24"/>
              </w:rPr>
            </w:pPr>
            <w:r>
              <w:rPr>
                <w:rFonts w:hint="eastAsia" w:ascii="宋体" w:hAnsi="宋体" w:eastAsia="宋体" w:cs="宋体"/>
                <w:sz w:val="24"/>
                <w:szCs w:val="24"/>
              </w:rPr>
              <w:t>排名</w:t>
            </w:r>
          </w:p>
        </w:tc>
        <w:tc>
          <w:tcPr>
            <w:tcW w:w="1013" w:type="dxa"/>
          </w:tcPr>
          <w:p>
            <w:pPr>
              <w:jc w:val="center"/>
              <w:rPr>
                <w:rFonts w:ascii="宋体" w:hAnsi="宋体" w:eastAsia="宋体" w:cs="宋体"/>
                <w:sz w:val="24"/>
                <w:szCs w:val="24"/>
              </w:rPr>
            </w:pPr>
            <w:r>
              <w:rPr>
                <w:rFonts w:hint="eastAsia" w:ascii="宋体" w:hAnsi="宋体" w:eastAsia="宋体" w:cs="宋体"/>
                <w:sz w:val="24"/>
                <w:szCs w:val="24"/>
              </w:rPr>
              <w:t>行政职务</w:t>
            </w:r>
          </w:p>
        </w:tc>
        <w:tc>
          <w:tcPr>
            <w:tcW w:w="1080" w:type="dxa"/>
          </w:tcPr>
          <w:p>
            <w:pPr>
              <w:jc w:val="center"/>
              <w:rPr>
                <w:rFonts w:ascii="宋体" w:hAnsi="宋体" w:eastAsia="宋体" w:cs="宋体"/>
                <w:sz w:val="24"/>
                <w:szCs w:val="24"/>
              </w:rPr>
            </w:pPr>
            <w:r>
              <w:rPr>
                <w:rFonts w:hint="eastAsia" w:ascii="宋体" w:hAnsi="宋体" w:eastAsia="宋体" w:cs="宋体"/>
                <w:sz w:val="24"/>
                <w:szCs w:val="24"/>
              </w:rPr>
              <w:t>技术职称</w:t>
            </w:r>
          </w:p>
        </w:tc>
        <w:tc>
          <w:tcPr>
            <w:tcW w:w="1350" w:type="dxa"/>
          </w:tcPr>
          <w:p>
            <w:pPr>
              <w:jc w:val="center"/>
              <w:rPr>
                <w:rFonts w:ascii="宋体" w:hAnsi="宋体" w:eastAsia="宋体" w:cs="宋体"/>
                <w:sz w:val="24"/>
                <w:szCs w:val="24"/>
              </w:rPr>
            </w:pPr>
            <w:r>
              <w:rPr>
                <w:rFonts w:hint="eastAsia" w:ascii="宋体" w:hAnsi="宋体" w:eastAsia="宋体" w:cs="宋体"/>
                <w:sz w:val="24"/>
                <w:szCs w:val="24"/>
              </w:rPr>
              <w:t>工作单位</w:t>
            </w:r>
          </w:p>
        </w:tc>
        <w:tc>
          <w:tcPr>
            <w:tcW w:w="1350" w:type="dxa"/>
          </w:tcPr>
          <w:p>
            <w:pPr>
              <w:jc w:val="center"/>
              <w:rPr>
                <w:rFonts w:ascii="宋体" w:hAnsi="宋体" w:eastAsia="宋体" w:cs="宋体"/>
                <w:sz w:val="24"/>
                <w:szCs w:val="24"/>
              </w:rPr>
            </w:pPr>
            <w:r>
              <w:rPr>
                <w:rFonts w:hint="eastAsia" w:ascii="宋体" w:hAnsi="宋体" w:eastAsia="宋体" w:cs="宋体"/>
                <w:sz w:val="24"/>
                <w:szCs w:val="24"/>
              </w:rPr>
              <w:t>完成单位</w:t>
            </w:r>
          </w:p>
        </w:tc>
        <w:tc>
          <w:tcPr>
            <w:tcW w:w="2541" w:type="dxa"/>
            <w:vAlign w:val="center"/>
          </w:tcPr>
          <w:p>
            <w:pPr>
              <w:rPr>
                <w:rFonts w:ascii="宋体" w:hAnsi="宋体" w:eastAsia="宋体" w:cs="宋体"/>
                <w:sz w:val="24"/>
                <w:szCs w:val="24"/>
              </w:rPr>
            </w:pPr>
            <w:r>
              <w:rPr>
                <w:rFonts w:hint="eastAsia" w:ascii="宋体" w:hAnsi="宋体" w:eastAsia="宋体" w:cs="宋体"/>
                <w:sz w:val="24"/>
                <w:szCs w:val="24"/>
              </w:rPr>
              <w:t>对本项目贡献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 w:type="dxa"/>
            <w:vAlign w:val="center"/>
          </w:tcPr>
          <w:p>
            <w:pPr>
              <w:rPr>
                <w:rFonts w:ascii="宋体" w:hAnsi="宋体" w:eastAsia="宋体" w:cs="宋体"/>
                <w:sz w:val="24"/>
                <w:szCs w:val="24"/>
              </w:rPr>
            </w:pPr>
            <w:r>
              <w:rPr>
                <w:rFonts w:hint="eastAsia" w:ascii="宋体" w:hAnsi="宋体" w:eastAsia="宋体" w:cs="宋体"/>
                <w:sz w:val="24"/>
                <w:szCs w:val="24"/>
              </w:rPr>
              <w:t>洪流</w:t>
            </w:r>
          </w:p>
        </w:tc>
        <w:tc>
          <w:tcPr>
            <w:tcW w:w="720" w:type="dxa"/>
            <w:vAlign w:val="center"/>
          </w:tcPr>
          <w:p>
            <w:pPr>
              <w:rPr>
                <w:rFonts w:ascii="宋体" w:hAnsi="宋体" w:eastAsia="宋体" w:cs="宋体"/>
                <w:sz w:val="24"/>
                <w:szCs w:val="24"/>
              </w:rPr>
            </w:pPr>
            <w:r>
              <w:rPr>
                <w:rFonts w:hint="eastAsia" w:ascii="宋体" w:hAnsi="宋体" w:eastAsia="宋体" w:cs="宋体"/>
                <w:sz w:val="24"/>
                <w:szCs w:val="24"/>
              </w:rPr>
              <w:t>1</w:t>
            </w:r>
          </w:p>
        </w:tc>
        <w:tc>
          <w:tcPr>
            <w:tcW w:w="1013" w:type="dxa"/>
            <w:vAlign w:val="center"/>
          </w:tcPr>
          <w:p>
            <w:pPr>
              <w:rPr>
                <w:rFonts w:ascii="宋体" w:hAnsi="宋体" w:eastAsia="宋体" w:cs="宋体"/>
                <w:sz w:val="24"/>
                <w:szCs w:val="24"/>
              </w:rPr>
            </w:pPr>
            <w:r>
              <w:rPr>
                <w:rFonts w:hint="eastAsia" w:ascii="宋体" w:hAnsi="宋体" w:eastAsia="宋体" w:cs="宋体"/>
                <w:sz w:val="24"/>
                <w:szCs w:val="24"/>
              </w:rPr>
              <w:t>副主任</w:t>
            </w:r>
          </w:p>
        </w:tc>
        <w:tc>
          <w:tcPr>
            <w:tcW w:w="1080" w:type="dxa"/>
            <w:vAlign w:val="center"/>
          </w:tcPr>
          <w:p>
            <w:pPr>
              <w:rPr>
                <w:rFonts w:ascii="宋体" w:hAnsi="宋体" w:eastAsia="宋体" w:cs="宋体"/>
                <w:sz w:val="24"/>
                <w:szCs w:val="24"/>
              </w:rPr>
            </w:pPr>
            <w:r>
              <w:rPr>
                <w:rFonts w:hint="eastAsia" w:ascii="宋体" w:hAnsi="宋体" w:eastAsia="宋体" w:cs="宋体"/>
                <w:sz w:val="24"/>
                <w:szCs w:val="24"/>
              </w:rPr>
              <w:t>教授</w:t>
            </w:r>
          </w:p>
        </w:tc>
        <w:tc>
          <w:tcPr>
            <w:tcW w:w="1350" w:type="dxa"/>
            <w:vAlign w:val="center"/>
          </w:tcPr>
          <w:p>
            <w:pPr>
              <w:rPr>
                <w:rFonts w:ascii="宋体" w:hAnsi="宋体" w:eastAsia="宋体" w:cs="宋体"/>
                <w:sz w:val="24"/>
                <w:szCs w:val="24"/>
              </w:rPr>
            </w:pPr>
            <w:r>
              <w:rPr>
                <w:rFonts w:hint="eastAsia" w:ascii="宋体" w:hAnsi="宋体" w:eastAsia="宋体" w:cs="宋体"/>
                <w:sz w:val="24"/>
                <w:szCs w:val="24"/>
              </w:rPr>
              <w:t>中国人民解放军空军军医大学</w:t>
            </w:r>
          </w:p>
        </w:tc>
        <w:tc>
          <w:tcPr>
            <w:tcW w:w="1350" w:type="dxa"/>
            <w:vAlign w:val="center"/>
          </w:tcPr>
          <w:p>
            <w:pPr>
              <w:rPr>
                <w:rFonts w:ascii="宋体" w:hAnsi="宋体" w:eastAsia="宋体" w:cs="宋体"/>
                <w:sz w:val="24"/>
                <w:szCs w:val="24"/>
              </w:rPr>
            </w:pPr>
            <w:r>
              <w:rPr>
                <w:rFonts w:hint="eastAsia" w:ascii="宋体" w:hAnsi="宋体" w:eastAsia="宋体" w:cs="宋体"/>
                <w:sz w:val="24"/>
                <w:szCs w:val="24"/>
              </w:rPr>
              <w:t>中国人民解放军空军军医大学</w:t>
            </w:r>
          </w:p>
        </w:tc>
        <w:tc>
          <w:tcPr>
            <w:tcW w:w="2541" w:type="dxa"/>
            <w:vAlign w:val="center"/>
          </w:tcPr>
          <w:p>
            <w:pPr>
              <w:rPr>
                <w:rFonts w:ascii="宋体" w:hAnsi="宋体" w:eastAsia="宋体" w:cs="宋体"/>
                <w:sz w:val="24"/>
                <w:szCs w:val="24"/>
              </w:rPr>
            </w:pPr>
            <w:r>
              <w:rPr>
                <w:rFonts w:hint="eastAsia" w:ascii="宋体" w:hAnsi="宋体" w:eastAsia="宋体" w:cs="宋体"/>
                <w:sz w:val="24"/>
                <w:szCs w:val="24"/>
              </w:rPr>
              <w:t>第一负责人，整体设计实施</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 w:type="dxa"/>
            <w:vAlign w:val="center"/>
          </w:tcPr>
          <w:p>
            <w:pPr>
              <w:rPr>
                <w:rFonts w:ascii="宋体" w:hAnsi="宋体" w:eastAsia="宋体" w:cs="宋体"/>
                <w:sz w:val="24"/>
                <w:szCs w:val="24"/>
              </w:rPr>
            </w:pPr>
            <w:r>
              <w:rPr>
                <w:rFonts w:hint="eastAsia" w:ascii="宋体" w:hAnsi="宋体" w:eastAsia="宋体" w:cs="宋体"/>
                <w:sz w:val="24"/>
                <w:szCs w:val="24"/>
              </w:rPr>
              <w:t>张洪伟</w:t>
            </w:r>
          </w:p>
        </w:tc>
        <w:tc>
          <w:tcPr>
            <w:tcW w:w="720" w:type="dxa"/>
            <w:vAlign w:val="center"/>
          </w:tcPr>
          <w:p>
            <w:pPr>
              <w:rPr>
                <w:rFonts w:ascii="宋体" w:hAnsi="宋体" w:eastAsia="宋体" w:cs="宋体"/>
                <w:sz w:val="24"/>
                <w:szCs w:val="24"/>
              </w:rPr>
            </w:pPr>
            <w:r>
              <w:rPr>
                <w:rFonts w:hint="eastAsia" w:ascii="宋体" w:hAnsi="宋体" w:eastAsia="宋体" w:cs="宋体"/>
                <w:sz w:val="24"/>
                <w:szCs w:val="24"/>
              </w:rPr>
              <w:t>2</w:t>
            </w:r>
          </w:p>
        </w:tc>
        <w:tc>
          <w:tcPr>
            <w:tcW w:w="1013" w:type="dxa"/>
            <w:vAlign w:val="center"/>
          </w:tcPr>
          <w:p>
            <w:pPr>
              <w:rPr>
                <w:rFonts w:ascii="宋体" w:hAnsi="宋体" w:eastAsia="宋体" w:cs="宋体"/>
                <w:sz w:val="24"/>
                <w:szCs w:val="24"/>
              </w:rPr>
            </w:pPr>
            <w:r>
              <w:rPr>
                <w:rFonts w:hint="eastAsia" w:ascii="宋体" w:hAnsi="宋体" w:eastAsia="宋体" w:cs="宋体"/>
                <w:sz w:val="24"/>
                <w:szCs w:val="24"/>
              </w:rPr>
              <w:t>副院长</w:t>
            </w:r>
          </w:p>
        </w:tc>
        <w:tc>
          <w:tcPr>
            <w:tcW w:w="1080" w:type="dxa"/>
            <w:vAlign w:val="center"/>
          </w:tcPr>
          <w:p>
            <w:pPr>
              <w:rPr>
                <w:rFonts w:ascii="宋体" w:hAnsi="宋体" w:eastAsia="宋体" w:cs="宋体"/>
                <w:sz w:val="24"/>
                <w:szCs w:val="24"/>
              </w:rPr>
            </w:pPr>
            <w:r>
              <w:rPr>
                <w:rFonts w:hint="eastAsia" w:ascii="宋体" w:hAnsi="宋体" w:eastAsia="宋体" w:cs="宋体"/>
                <w:sz w:val="24"/>
                <w:szCs w:val="24"/>
              </w:rPr>
              <w:t>主任医师</w:t>
            </w:r>
          </w:p>
        </w:tc>
        <w:tc>
          <w:tcPr>
            <w:tcW w:w="1350" w:type="dxa"/>
            <w:vAlign w:val="center"/>
          </w:tcPr>
          <w:p>
            <w:pPr>
              <w:rPr>
                <w:rFonts w:ascii="宋体" w:hAnsi="宋体" w:eastAsia="宋体" w:cs="宋体"/>
                <w:sz w:val="24"/>
                <w:szCs w:val="24"/>
              </w:rPr>
            </w:pPr>
            <w:r>
              <w:rPr>
                <w:rFonts w:hint="eastAsia" w:ascii="宋体" w:hAnsi="宋体" w:eastAsia="宋体" w:cs="宋体"/>
                <w:sz w:val="24"/>
                <w:szCs w:val="24"/>
              </w:rPr>
              <w:t>无锡眀慈心血管病医院</w:t>
            </w:r>
          </w:p>
        </w:tc>
        <w:tc>
          <w:tcPr>
            <w:tcW w:w="1350" w:type="dxa"/>
            <w:vAlign w:val="center"/>
          </w:tcPr>
          <w:p>
            <w:pPr>
              <w:rPr>
                <w:rFonts w:ascii="宋体" w:hAnsi="宋体" w:eastAsia="宋体" w:cs="宋体"/>
                <w:sz w:val="24"/>
                <w:szCs w:val="24"/>
              </w:rPr>
            </w:pPr>
            <w:r>
              <w:rPr>
                <w:rFonts w:hint="eastAsia" w:ascii="宋体" w:hAnsi="宋体" w:eastAsia="宋体" w:cs="宋体"/>
                <w:sz w:val="24"/>
                <w:szCs w:val="24"/>
              </w:rPr>
              <w:t>中国人民解放军空军军医大学</w:t>
            </w:r>
          </w:p>
        </w:tc>
        <w:tc>
          <w:tcPr>
            <w:tcW w:w="2541" w:type="dxa"/>
            <w:vAlign w:val="center"/>
          </w:tcPr>
          <w:p>
            <w:pPr>
              <w:rPr>
                <w:rFonts w:ascii="宋体" w:hAnsi="宋体" w:eastAsia="宋体" w:cs="宋体"/>
                <w:sz w:val="24"/>
                <w:szCs w:val="24"/>
              </w:rPr>
            </w:pPr>
            <w:r>
              <w:rPr>
                <w:rFonts w:hint="eastAsia" w:ascii="宋体" w:hAnsi="宋体" w:eastAsia="宋体" w:cs="宋体"/>
                <w:sz w:val="24"/>
                <w:szCs w:val="24"/>
              </w:rPr>
              <w:t>归纳影响胃癌患者预后的不良因素，参与开展术中精准化手术与建立术后精准化综合治疗策略的研究</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 w:type="dxa"/>
            <w:vAlign w:val="center"/>
          </w:tcPr>
          <w:p>
            <w:pPr>
              <w:rPr>
                <w:rFonts w:ascii="宋体" w:hAnsi="宋体" w:eastAsia="宋体" w:cs="宋体"/>
                <w:sz w:val="24"/>
                <w:szCs w:val="24"/>
              </w:rPr>
            </w:pPr>
            <w:r>
              <w:rPr>
                <w:rFonts w:hint="eastAsia" w:ascii="宋体" w:hAnsi="宋体" w:eastAsia="宋体" w:cs="宋体"/>
                <w:sz w:val="24"/>
                <w:szCs w:val="24"/>
              </w:rPr>
              <w:t>丰帆</w:t>
            </w:r>
          </w:p>
        </w:tc>
        <w:tc>
          <w:tcPr>
            <w:tcW w:w="720" w:type="dxa"/>
            <w:vAlign w:val="center"/>
          </w:tcPr>
          <w:p>
            <w:pPr>
              <w:rPr>
                <w:rFonts w:ascii="宋体" w:hAnsi="宋体" w:eastAsia="宋体" w:cs="宋体"/>
                <w:sz w:val="24"/>
                <w:szCs w:val="24"/>
              </w:rPr>
            </w:pPr>
            <w:r>
              <w:rPr>
                <w:rFonts w:hint="eastAsia" w:ascii="宋体" w:hAnsi="宋体" w:eastAsia="宋体" w:cs="宋体"/>
                <w:sz w:val="24"/>
                <w:szCs w:val="24"/>
              </w:rPr>
              <w:t>3</w:t>
            </w:r>
          </w:p>
        </w:tc>
        <w:tc>
          <w:tcPr>
            <w:tcW w:w="1013" w:type="dxa"/>
            <w:vAlign w:val="center"/>
          </w:tcPr>
          <w:p>
            <w:pPr>
              <w:rPr>
                <w:rFonts w:ascii="宋体" w:hAnsi="宋体" w:eastAsia="宋体" w:cs="宋体"/>
                <w:sz w:val="24"/>
                <w:szCs w:val="24"/>
              </w:rPr>
            </w:pPr>
            <w:r>
              <w:rPr>
                <w:rFonts w:hint="eastAsia" w:ascii="宋体" w:hAnsi="宋体" w:eastAsia="宋体" w:cs="宋体"/>
                <w:sz w:val="24"/>
                <w:szCs w:val="24"/>
              </w:rPr>
              <w:t>无</w:t>
            </w:r>
          </w:p>
        </w:tc>
        <w:tc>
          <w:tcPr>
            <w:tcW w:w="1080" w:type="dxa"/>
            <w:vAlign w:val="center"/>
          </w:tcPr>
          <w:p>
            <w:pPr>
              <w:rPr>
                <w:rFonts w:ascii="宋体" w:hAnsi="宋体" w:eastAsia="宋体" w:cs="宋体"/>
                <w:sz w:val="24"/>
                <w:szCs w:val="24"/>
              </w:rPr>
            </w:pPr>
            <w:r>
              <w:rPr>
                <w:rFonts w:hint="eastAsia" w:ascii="宋体" w:hAnsi="宋体" w:eastAsia="宋体" w:cs="宋体"/>
                <w:sz w:val="24"/>
                <w:szCs w:val="24"/>
              </w:rPr>
              <w:t>副主任医师</w:t>
            </w:r>
          </w:p>
        </w:tc>
        <w:tc>
          <w:tcPr>
            <w:tcW w:w="1350" w:type="dxa"/>
            <w:vAlign w:val="center"/>
          </w:tcPr>
          <w:p>
            <w:pPr>
              <w:rPr>
                <w:rFonts w:ascii="宋体" w:hAnsi="宋体" w:eastAsia="宋体" w:cs="宋体"/>
                <w:sz w:val="24"/>
                <w:szCs w:val="24"/>
              </w:rPr>
            </w:pPr>
            <w:r>
              <w:rPr>
                <w:rFonts w:hint="eastAsia" w:ascii="宋体" w:hAnsi="宋体" w:eastAsia="宋体" w:cs="宋体"/>
                <w:sz w:val="24"/>
                <w:szCs w:val="24"/>
              </w:rPr>
              <w:t>中国人民解放军空军军医大学</w:t>
            </w:r>
          </w:p>
        </w:tc>
        <w:tc>
          <w:tcPr>
            <w:tcW w:w="1350" w:type="dxa"/>
            <w:vAlign w:val="center"/>
          </w:tcPr>
          <w:p>
            <w:pPr>
              <w:rPr>
                <w:rFonts w:ascii="宋体" w:hAnsi="宋体" w:eastAsia="宋体" w:cs="宋体"/>
                <w:sz w:val="24"/>
                <w:szCs w:val="24"/>
              </w:rPr>
            </w:pPr>
            <w:r>
              <w:rPr>
                <w:rFonts w:hint="eastAsia" w:ascii="宋体" w:hAnsi="宋体" w:eastAsia="宋体" w:cs="宋体"/>
                <w:sz w:val="24"/>
                <w:szCs w:val="24"/>
              </w:rPr>
              <w:t>中国人民解放军空军军医大学</w:t>
            </w:r>
          </w:p>
        </w:tc>
        <w:tc>
          <w:tcPr>
            <w:tcW w:w="2541" w:type="dxa"/>
            <w:vAlign w:val="center"/>
          </w:tcPr>
          <w:p>
            <w:pPr>
              <w:rPr>
                <w:rFonts w:ascii="宋体" w:hAnsi="宋体" w:eastAsia="宋体" w:cs="宋体"/>
                <w:sz w:val="24"/>
                <w:szCs w:val="24"/>
              </w:rPr>
            </w:pPr>
            <w:r>
              <w:rPr>
                <w:rFonts w:hint="eastAsia" w:ascii="宋体" w:hAnsi="宋体" w:eastAsia="宋体" w:cs="宋体"/>
                <w:sz w:val="24"/>
                <w:szCs w:val="24"/>
              </w:rPr>
              <w:t>提出影响胃癌患者预后的不良因素，参与术中精准化手术策略的研究</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 w:type="dxa"/>
            <w:vAlign w:val="center"/>
          </w:tcPr>
          <w:p>
            <w:pPr>
              <w:rPr>
                <w:rFonts w:ascii="宋体" w:hAnsi="宋体" w:eastAsia="宋体" w:cs="宋体"/>
                <w:sz w:val="24"/>
                <w:szCs w:val="24"/>
              </w:rPr>
            </w:pPr>
            <w:r>
              <w:rPr>
                <w:rFonts w:hint="eastAsia" w:ascii="宋体" w:hAnsi="宋体" w:eastAsia="宋体" w:cs="宋体"/>
                <w:sz w:val="24"/>
                <w:szCs w:val="24"/>
              </w:rPr>
              <w:t>徐光辉</w:t>
            </w:r>
          </w:p>
        </w:tc>
        <w:tc>
          <w:tcPr>
            <w:tcW w:w="720" w:type="dxa"/>
            <w:vAlign w:val="center"/>
          </w:tcPr>
          <w:p>
            <w:pPr>
              <w:rPr>
                <w:rFonts w:ascii="宋体" w:hAnsi="宋体" w:eastAsia="宋体" w:cs="宋体"/>
                <w:sz w:val="24"/>
                <w:szCs w:val="24"/>
              </w:rPr>
            </w:pPr>
            <w:r>
              <w:rPr>
                <w:rFonts w:hint="eastAsia" w:ascii="宋体" w:hAnsi="宋体" w:eastAsia="宋体" w:cs="宋体"/>
                <w:sz w:val="24"/>
                <w:szCs w:val="24"/>
              </w:rPr>
              <w:t>4</w:t>
            </w:r>
          </w:p>
        </w:tc>
        <w:tc>
          <w:tcPr>
            <w:tcW w:w="1013" w:type="dxa"/>
            <w:vAlign w:val="center"/>
          </w:tcPr>
          <w:p>
            <w:pPr>
              <w:rPr>
                <w:rFonts w:ascii="宋体" w:hAnsi="宋体" w:eastAsia="宋体" w:cs="宋体"/>
                <w:sz w:val="24"/>
                <w:szCs w:val="24"/>
              </w:rPr>
            </w:pPr>
            <w:r>
              <w:rPr>
                <w:rFonts w:hint="eastAsia" w:ascii="宋体" w:hAnsi="宋体" w:eastAsia="宋体" w:cs="宋体"/>
                <w:sz w:val="24"/>
                <w:szCs w:val="24"/>
              </w:rPr>
              <w:t>无</w:t>
            </w:r>
          </w:p>
        </w:tc>
        <w:tc>
          <w:tcPr>
            <w:tcW w:w="1080" w:type="dxa"/>
            <w:vAlign w:val="center"/>
          </w:tcPr>
          <w:p>
            <w:pPr>
              <w:rPr>
                <w:rFonts w:ascii="宋体" w:hAnsi="宋体" w:eastAsia="宋体" w:cs="宋体"/>
                <w:sz w:val="24"/>
                <w:szCs w:val="24"/>
              </w:rPr>
            </w:pPr>
            <w:r>
              <w:rPr>
                <w:rFonts w:hint="eastAsia" w:ascii="宋体" w:hAnsi="宋体" w:eastAsia="宋体" w:cs="宋体"/>
                <w:sz w:val="24"/>
                <w:szCs w:val="24"/>
              </w:rPr>
              <w:t>主治医师</w:t>
            </w:r>
          </w:p>
        </w:tc>
        <w:tc>
          <w:tcPr>
            <w:tcW w:w="1350" w:type="dxa"/>
            <w:vAlign w:val="center"/>
          </w:tcPr>
          <w:p>
            <w:pPr>
              <w:rPr>
                <w:rFonts w:ascii="宋体" w:hAnsi="宋体" w:eastAsia="宋体" w:cs="宋体"/>
                <w:sz w:val="24"/>
                <w:szCs w:val="24"/>
              </w:rPr>
            </w:pPr>
            <w:r>
              <w:rPr>
                <w:rFonts w:hint="eastAsia" w:ascii="宋体" w:hAnsi="宋体" w:eastAsia="宋体" w:cs="宋体"/>
                <w:sz w:val="24"/>
                <w:szCs w:val="24"/>
              </w:rPr>
              <w:t>中国人民解放军空军军医大学</w:t>
            </w:r>
          </w:p>
        </w:tc>
        <w:tc>
          <w:tcPr>
            <w:tcW w:w="1350" w:type="dxa"/>
            <w:vAlign w:val="center"/>
          </w:tcPr>
          <w:p>
            <w:pPr>
              <w:rPr>
                <w:rFonts w:ascii="宋体" w:hAnsi="宋体" w:eastAsia="宋体" w:cs="宋体"/>
                <w:sz w:val="24"/>
                <w:szCs w:val="24"/>
              </w:rPr>
            </w:pPr>
            <w:r>
              <w:rPr>
                <w:rFonts w:hint="eastAsia" w:ascii="宋体" w:hAnsi="宋体" w:eastAsia="宋体" w:cs="宋体"/>
                <w:sz w:val="24"/>
                <w:szCs w:val="24"/>
              </w:rPr>
              <w:t>中国人民解放军空军军医大学</w:t>
            </w:r>
          </w:p>
        </w:tc>
        <w:tc>
          <w:tcPr>
            <w:tcW w:w="2541" w:type="dxa"/>
            <w:vAlign w:val="center"/>
          </w:tcPr>
          <w:p>
            <w:pPr>
              <w:rPr>
                <w:rFonts w:ascii="宋体" w:hAnsi="宋体" w:eastAsia="宋体" w:cs="宋体"/>
                <w:sz w:val="24"/>
                <w:szCs w:val="24"/>
              </w:rPr>
            </w:pPr>
            <w:r>
              <w:rPr>
                <w:rFonts w:hint="eastAsia" w:ascii="宋体" w:hAnsi="宋体" w:eastAsia="宋体" w:cs="宋体"/>
                <w:sz w:val="24"/>
                <w:szCs w:val="24"/>
              </w:rPr>
              <w:t>提出影响胃癌患者预后的不良因素，参与术中精准化手术策略的研究</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 w:type="dxa"/>
            <w:vAlign w:val="center"/>
          </w:tcPr>
          <w:p>
            <w:pPr>
              <w:rPr>
                <w:rFonts w:ascii="宋体" w:hAnsi="宋体" w:eastAsia="宋体" w:cs="宋体"/>
                <w:sz w:val="24"/>
                <w:szCs w:val="24"/>
              </w:rPr>
            </w:pPr>
            <w:r>
              <w:rPr>
                <w:rFonts w:hint="eastAsia" w:ascii="宋体" w:hAnsi="宋体" w:eastAsia="宋体" w:cs="宋体"/>
                <w:sz w:val="24"/>
                <w:szCs w:val="24"/>
              </w:rPr>
              <w:t>杨建军</w:t>
            </w:r>
          </w:p>
        </w:tc>
        <w:tc>
          <w:tcPr>
            <w:tcW w:w="720" w:type="dxa"/>
            <w:vAlign w:val="center"/>
          </w:tcPr>
          <w:p>
            <w:pPr>
              <w:rPr>
                <w:rFonts w:ascii="宋体" w:hAnsi="宋体" w:eastAsia="宋体" w:cs="宋体"/>
                <w:sz w:val="24"/>
                <w:szCs w:val="24"/>
              </w:rPr>
            </w:pPr>
            <w:r>
              <w:rPr>
                <w:rFonts w:hint="eastAsia" w:ascii="宋体" w:hAnsi="宋体" w:eastAsia="宋体" w:cs="宋体"/>
                <w:sz w:val="24"/>
                <w:szCs w:val="24"/>
              </w:rPr>
              <w:t>5</w:t>
            </w:r>
          </w:p>
        </w:tc>
        <w:tc>
          <w:tcPr>
            <w:tcW w:w="1013" w:type="dxa"/>
            <w:vAlign w:val="center"/>
          </w:tcPr>
          <w:p>
            <w:pPr>
              <w:rPr>
                <w:rFonts w:ascii="宋体" w:hAnsi="宋体" w:eastAsia="宋体" w:cs="宋体"/>
                <w:sz w:val="24"/>
                <w:szCs w:val="24"/>
              </w:rPr>
            </w:pPr>
            <w:r>
              <w:rPr>
                <w:rFonts w:hint="eastAsia" w:ascii="宋体" w:hAnsi="宋体" w:eastAsia="宋体" w:cs="宋体"/>
                <w:sz w:val="24"/>
                <w:szCs w:val="24"/>
              </w:rPr>
              <w:t>无</w:t>
            </w:r>
          </w:p>
        </w:tc>
        <w:tc>
          <w:tcPr>
            <w:tcW w:w="1080" w:type="dxa"/>
            <w:vAlign w:val="center"/>
          </w:tcPr>
          <w:p>
            <w:pPr>
              <w:rPr>
                <w:rFonts w:ascii="宋体" w:hAnsi="宋体" w:eastAsia="宋体" w:cs="宋体"/>
                <w:sz w:val="24"/>
                <w:szCs w:val="24"/>
              </w:rPr>
            </w:pPr>
            <w:r>
              <w:rPr>
                <w:rFonts w:hint="eastAsia" w:ascii="宋体" w:hAnsi="宋体" w:eastAsia="宋体" w:cs="宋体"/>
                <w:sz w:val="24"/>
                <w:szCs w:val="24"/>
              </w:rPr>
              <w:t>主任医师</w:t>
            </w:r>
          </w:p>
        </w:tc>
        <w:tc>
          <w:tcPr>
            <w:tcW w:w="1350" w:type="dxa"/>
            <w:vAlign w:val="center"/>
          </w:tcPr>
          <w:p>
            <w:pPr>
              <w:rPr>
                <w:rFonts w:ascii="宋体" w:hAnsi="宋体" w:eastAsia="宋体" w:cs="宋体"/>
                <w:sz w:val="24"/>
                <w:szCs w:val="24"/>
              </w:rPr>
            </w:pPr>
            <w:r>
              <w:rPr>
                <w:rFonts w:hint="eastAsia" w:ascii="宋体" w:hAnsi="宋体" w:eastAsia="宋体" w:cs="宋体"/>
                <w:sz w:val="24"/>
                <w:szCs w:val="24"/>
              </w:rPr>
              <w:t>中国人民解放军空军军医大学</w:t>
            </w:r>
          </w:p>
        </w:tc>
        <w:tc>
          <w:tcPr>
            <w:tcW w:w="1350" w:type="dxa"/>
            <w:vAlign w:val="center"/>
          </w:tcPr>
          <w:p>
            <w:pPr>
              <w:rPr>
                <w:rFonts w:ascii="宋体" w:hAnsi="宋体" w:eastAsia="宋体" w:cs="宋体"/>
                <w:sz w:val="24"/>
                <w:szCs w:val="24"/>
              </w:rPr>
            </w:pPr>
            <w:r>
              <w:rPr>
                <w:rFonts w:hint="eastAsia" w:ascii="宋体" w:hAnsi="宋体" w:eastAsia="宋体" w:cs="宋体"/>
                <w:sz w:val="24"/>
                <w:szCs w:val="24"/>
              </w:rPr>
              <w:t>中国人民解放军空军军医大学</w:t>
            </w:r>
          </w:p>
        </w:tc>
        <w:tc>
          <w:tcPr>
            <w:tcW w:w="2541" w:type="dxa"/>
            <w:vAlign w:val="center"/>
          </w:tcPr>
          <w:p>
            <w:pPr>
              <w:rPr>
                <w:rFonts w:ascii="宋体" w:hAnsi="宋体" w:eastAsia="宋体" w:cs="宋体"/>
                <w:sz w:val="24"/>
                <w:szCs w:val="24"/>
              </w:rPr>
            </w:pPr>
            <w:r>
              <w:rPr>
                <w:rFonts w:hint="eastAsia" w:ascii="宋体" w:hAnsi="宋体" w:eastAsia="宋体" w:cs="宋体"/>
                <w:sz w:val="24"/>
                <w:szCs w:val="24"/>
              </w:rPr>
              <w:t>参与开展术中精准化手术与建立术后精准化综合治疗策略的研究</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 w:type="dxa"/>
            <w:vAlign w:val="center"/>
          </w:tcPr>
          <w:p>
            <w:pPr>
              <w:rPr>
                <w:rFonts w:ascii="宋体" w:hAnsi="宋体" w:eastAsia="宋体" w:cs="宋体"/>
                <w:sz w:val="24"/>
                <w:szCs w:val="24"/>
              </w:rPr>
            </w:pPr>
            <w:r>
              <w:rPr>
                <w:rFonts w:hint="eastAsia" w:ascii="宋体" w:hAnsi="宋体" w:eastAsia="宋体" w:cs="宋体"/>
                <w:sz w:val="24"/>
                <w:szCs w:val="24"/>
              </w:rPr>
              <w:t>孙力</w:t>
            </w:r>
          </w:p>
        </w:tc>
        <w:tc>
          <w:tcPr>
            <w:tcW w:w="720" w:type="dxa"/>
            <w:vAlign w:val="center"/>
          </w:tcPr>
          <w:p>
            <w:pPr>
              <w:rPr>
                <w:rFonts w:ascii="宋体" w:hAnsi="宋体" w:eastAsia="宋体" w:cs="宋体"/>
                <w:sz w:val="24"/>
                <w:szCs w:val="24"/>
              </w:rPr>
            </w:pPr>
            <w:r>
              <w:rPr>
                <w:rFonts w:hint="eastAsia" w:ascii="宋体" w:hAnsi="宋体" w:eastAsia="宋体" w:cs="宋体"/>
                <w:sz w:val="24"/>
                <w:szCs w:val="24"/>
              </w:rPr>
              <w:t>6</w:t>
            </w:r>
          </w:p>
        </w:tc>
        <w:tc>
          <w:tcPr>
            <w:tcW w:w="1013" w:type="dxa"/>
            <w:vAlign w:val="center"/>
          </w:tcPr>
          <w:p>
            <w:pPr>
              <w:rPr>
                <w:rFonts w:ascii="宋体" w:hAnsi="宋体" w:eastAsia="宋体" w:cs="宋体"/>
                <w:sz w:val="24"/>
                <w:szCs w:val="24"/>
              </w:rPr>
            </w:pPr>
            <w:r>
              <w:rPr>
                <w:rFonts w:hint="eastAsia" w:ascii="宋体" w:hAnsi="宋体" w:eastAsia="宋体" w:cs="宋体"/>
                <w:sz w:val="24"/>
                <w:szCs w:val="24"/>
              </w:rPr>
              <w:t>科主任</w:t>
            </w:r>
          </w:p>
        </w:tc>
        <w:tc>
          <w:tcPr>
            <w:tcW w:w="1080" w:type="dxa"/>
            <w:vAlign w:val="center"/>
          </w:tcPr>
          <w:p>
            <w:pPr>
              <w:rPr>
                <w:rFonts w:ascii="宋体" w:hAnsi="宋体" w:eastAsia="宋体" w:cs="宋体"/>
                <w:sz w:val="24"/>
                <w:szCs w:val="24"/>
              </w:rPr>
            </w:pPr>
            <w:r>
              <w:rPr>
                <w:rFonts w:hint="eastAsia" w:ascii="宋体" w:hAnsi="宋体" w:eastAsia="宋体" w:cs="宋体"/>
                <w:sz w:val="24"/>
                <w:szCs w:val="24"/>
              </w:rPr>
              <w:t>副主任医师</w:t>
            </w:r>
          </w:p>
        </w:tc>
        <w:tc>
          <w:tcPr>
            <w:tcW w:w="1350" w:type="dxa"/>
            <w:vAlign w:val="center"/>
          </w:tcPr>
          <w:p>
            <w:pPr>
              <w:rPr>
                <w:rFonts w:ascii="宋体" w:hAnsi="宋体" w:eastAsia="宋体" w:cs="宋体"/>
                <w:sz w:val="24"/>
                <w:szCs w:val="24"/>
              </w:rPr>
            </w:pPr>
            <w:r>
              <w:rPr>
                <w:rFonts w:hint="eastAsia" w:ascii="宋体" w:hAnsi="宋体" w:eastAsia="宋体" w:cs="宋体"/>
                <w:sz w:val="24"/>
                <w:szCs w:val="24"/>
              </w:rPr>
              <w:t xml:space="preserve">西安市红会医院 </w:t>
            </w:r>
          </w:p>
        </w:tc>
        <w:tc>
          <w:tcPr>
            <w:tcW w:w="1350" w:type="dxa"/>
            <w:vAlign w:val="center"/>
          </w:tcPr>
          <w:p>
            <w:pPr>
              <w:rPr>
                <w:rFonts w:ascii="宋体" w:hAnsi="宋体" w:eastAsia="宋体" w:cs="宋体"/>
                <w:sz w:val="24"/>
                <w:szCs w:val="24"/>
              </w:rPr>
            </w:pPr>
            <w:r>
              <w:rPr>
                <w:rFonts w:hint="eastAsia" w:ascii="宋体" w:hAnsi="宋体" w:eastAsia="宋体" w:cs="宋体"/>
                <w:sz w:val="24"/>
                <w:szCs w:val="24"/>
              </w:rPr>
              <w:t>中国人民解放军空军军医大学</w:t>
            </w:r>
          </w:p>
        </w:tc>
        <w:tc>
          <w:tcPr>
            <w:tcW w:w="2541" w:type="dxa"/>
            <w:vAlign w:val="center"/>
          </w:tcPr>
          <w:p>
            <w:pPr>
              <w:rPr>
                <w:rFonts w:ascii="宋体" w:hAnsi="宋体" w:eastAsia="宋体" w:cs="宋体"/>
                <w:sz w:val="24"/>
                <w:szCs w:val="24"/>
              </w:rPr>
            </w:pPr>
            <w:r>
              <w:rPr>
                <w:rFonts w:hint="eastAsia" w:ascii="宋体" w:hAnsi="宋体" w:eastAsia="宋体" w:cs="宋体"/>
                <w:sz w:val="24"/>
                <w:szCs w:val="24"/>
              </w:rPr>
              <w:t>参与术中精准化手术策略的研究</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 w:type="dxa"/>
            <w:vAlign w:val="center"/>
          </w:tcPr>
          <w:p>
            <w:pPr>
              <w:rPr>
                <w:rFonts w:ascii="宋体" w:hAnsi="宋体" w:eastAsia="宋体" w:cs="宋体"/>
                <w:sz w:val="24"/>
                <w:szCs w:val="24"/>
              </w:rPr>
            </w:pPr>
            <w:r>
              <w:rPr>
                <w:rFonts w:hint="eastAsia" w:ascii="宋体" w:hAnsi="宋体" w:eastAsia="宋体" w:cs="宋体"/>
                <w:sz w:val="24"/>
                <w:szCs w:val="24"/>
              </w:rPr>
              <w:t>韩宇</w:t>
            </w:r>
          </w:p>
        </w:tc>
        <w:tc>
          <w:tcPr>
            <w:tcW w:w="720" w:type="dxa"/>
            <w:vAlign w:val="center"/>
          </w:tcPr>
          <w:p>
            <w:pPr>
              <w:rPr>
                <w:rFonts w:ascii="宋体" w:hAnsi="宋体" w:eastAsia="宋体" w:cs="宋体"/>
                <w:sz w:val="24"/>
                <w:szCs w:val="24"/>
              </w:rPr>
            </w:pPr>
            <w:r>
              <w:rPr>
                <w:rFonts w:hint="eastAsia" w:ascii="宋体" w:hAnsi="宋体" w:eastAsia="宋体" w:cs="宋体"/>
                <w:sz w:val="24"/>
                <w:szCs w:val="24"/>
              </w:rPr>
              <w:t>7</w:t>
            </w:r>
          </w:p>
        </w:tc>
        <w:tc>
          <w:tcPr>
            <w:tcW w:w="1013" w:type="dxa"/>
            <w:vAlign w:val="center"/>
          </w:tcPr>
          <w:p>
            <w:pPr>
              <w:rPr>
                <w:rFonts w:ascii="宋体" w:hAnsi="宋体" w:eastAsia="宋体" w:cs="宋体"/>
                <w:sz w:val="24"/>
                <w:szCs w:val="24"/>
              </w:rPr>
            </w:pPr>
            <w:r>
              <w:rPr>
                <w:rFonts w:hint="eastAsia" w:ascii="宋体" w:hAnsi="宋体" w:eastAsia="宋体" w:cs="宋体"/>
                <w:sz w:val="24"/>
                <w:szCs w:val="24"/>
              </w:rPr>
              <w:t>无</w:t>
            </w:r>
          </w:p>
        </w:tc>
        <w:tc>
          <w:tcPr>
            <w:tcW w:w="1080" w:type="dxa"/>
            <w:vAlign w:val="center"/>
          </w:tcPr>
          <w:p>
            <w:pPr>
              <w:rPr>
                <w:rFonts w:ascii="宋体" w:hAnsi="宋体" w:eastAsia="宋体" w:cs="宋体"/>
                <w:sz w:val="24"/>
                <w:szCs w:val="24"/>
              </w:rPr>
            </w:pPr>
            <w:r>
              <w:rPr>
                <w:rFonts w:hint="eastAsia" w:ascii="宋体" w:hAnsi="宋体" w:eastAsia="宋体" w:cs="宋体"/>
                <w:sz w:val="24"/>
                <w:szCs w:val="24"/>
              </w:rPr>
              <w:t>副教授</w:t>
            </w:r>
          </w:p>
        </w:tc>
        <w:tc>
          <w:tcPr>
            <w:tcW w:w="1350" w:type="dxa"/>
            <w:vAlign w:val="center"/>
          </w:tcPr>
          <w:p>
            <w:pPr>
              <w:rPr>
                <w:rFonts w:ascii="宋体" w:hAnsi="宋体" w:eastAsia="宋体" w:cs="宋体"/>
                <w:sz w:val="24"/>
                <w:szCs w:val="24"/>
              </w:rPr>
            </w:pPr>
            <w:r>
              <w:rPr>
                <w:rFonts w:hint="eastAsia" w:ascii="宋体" w:hAnsi="宋体" w:eastAsia="宋体" w:cs="宋体"/>
                <w:sz w:val="24"/>
                <w:szCs w:val="24"/>
              </w:rPr>
              <w:t>中国人民解放军空军军医大学</w:t>
            </w:r>
          </w:p>
        </w:tc>
        <w:tc>
          <w:tcPr>
            <w:tcW w:w="1350" w:type="dxa"/>
            <w:vAlign w:val="center"/>
          </w:tcPr>
          <w:p>
            <w:pPr>
              <w:rPr>
                <w:rFonts w:ascii="宋体" w:hAnsi="宋体" w:eastAsia="宋体" w:cs="宋体"/>
                <w:sz w:val="24"/>
                <w:szCs w:val="24"/>
              </w:rPr>
            </w:pPr>
            <w:r>
              <w:rPr>
                <w:rFonts w:hint="eastAsia" w:ascii="宋体" w:hAnsi="宋体" w:eastAsia="宋体" w:cs="宋体"/>
                <w:sz w:val="24"/>
                <w:szCs w:val="24"/>
              </w:rPr>
              <w:t>中国人民解放军空军军医大学</w:t>
            </w:r>
          </w:p>
        </w:tc>
        <w:tc>
          <w:tcPr>
            <w:tcW w:w="2541" w:type="dxa"/>
            <w:vAlign w:val="center"/>
          </w:tcPr>
          <w:p>
            <w:pPr>
              <w:rPr>
                <w:rFonts w:ascii="宋体" w:hAnsi="宋体" w:eastAsia="宋体" w:cs="宋体"/>
                <w:sz w:val="24"/>
                <w:szCs w:val="24"/>
              </w:rPr>
            </w:pPr>
            <w:r>
              <w:rPr>
                <w:rFonts w:hint="eastAsia" w:ascii="宋体" w:hAnsi="宋体" w:eastAsia="宋体" w:cs="宋体"/>
                <w:sz w:val="24"/>
                <w:szCs w:val="24"/>
              </w:rPr>
              <w:t>提出影响胃癌患者预后的不良因素，参与术后精准化综合治疗策略的研究</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 w:type="dxa"/>
            <w:vAlign w:val="center"/>
          </w:tcPr>
          <w:p>
            <w:pPr>
              <w:rPr>
                <w:rFonts w:ascii="宋体" w:hAnsi="宋体" w:eastAsia="宋体" w:cs="宋体"/>
                <w:sz w:val="24"/>
                <w:szCs w:val="24"/>
              </w:rPr>
            </w:pPr>
            <w:r>
              <w:rPr>
                <w:rFonts w:hint="eastAsia" w:ascii="宋体" w:hAnsi="宋体" w:eastAsia="宋体" w:cs="宋体"/>
                <w:sz w:val="24"/>
                <w:szCs w:val="24"/>
              </w:rPr>
              <w:t>李一丁</w:t>
            </w:r>
          </w:p>
        </w:tc>
        <w:tc>
          <w:tcPr>
            <w:tcW w:w="720" w:type="dxa"/>
            <w:vAlign w:val="center"/>
          </w:tcPr>
          <w:p>
            <w:pPr>
              <w:rPr>
                <w:rFonts w:ascii="宋体" w:hAnsi="宋体" w:eastAsia="宋体" w:cs="宋体"/>
                <w:sz w:val="24"/>
                <w:szCs w:val="24"/>
              </w:rPr>
            </w:pPr>
            <w:r>
              <w:rPr>
                <w:rFonts w:hint="eastAsia" w:ascii="宋体" w:hAnsi="宋体" w:eastAsia="宋体" w:cs="宋体"/>
                <w:sz w:val="24"/>
                <w:szCs w:val="24"/>
              </w:rPr>
              <w:t>8</w:t>
            </w:r>
          </w:p>
        </w:tc>
        <w:tc>
          <w:tcPr>
            <w:tcW w:w="1013" w:type="dxa"/>
            <w:vAlign w:val="center"/>
          </w:tcPr>
          <w:p>
            <w:pPr>
              <w:rPr>
                <w:rFonts w:ascii="宋体" w:hAnsi="宋体" w:eastAsia="宋体" w:cs="宋体"/>
                <w:sz w:val="24"/>
                <w:szCs w:val="24"/>
              </w:rPr>
            </w:pPr>
            <w:r>
              <w:rPr>
                <w:rFonts w:hint="eastAsia" w:ascii="宋体" w:hAnsi="宋体" w:eastAsia="宋体" w:cs="宋体"/>
                <w:sz w:val="24"/>
                <w:szCs w:val="24"/>
              </w:rPr>
              <w:t>无</w:t>
            </w:r>
          </w:p>
        </w:tc>
        <w:tc>
          <w:tcPr>
            <w:tcW w:w="1080" w:type="dxa"/>
            <w:vAlign w:val="center"/>
          </w:tcPr>
          <w:p>
            <w:pPr>
              <w:rPr>
                <w:rFonts w:ascii="宋体" w:hAnsi="宋体" w:eastAsia="宋体" w:cs="宋体"/>
                <w:sz w:val="24"/>
                <w:szCs w:val="24"/>
              </w:rPr>
            </w:pPr>
            <w:r>
              <w:rPr>
                <w:rFonts w:hint="eastAsia" w:ascii="宋体" w:hAnsi="宋体" w:eastAsia="宋体" w:cs="宋体"/>
                <w:sz w:val="24"/>
                <w:szCs w:val="24"/>
              </w:rPr>
              <w:t>医师</w:t>
            </w:r>
          </w:p>
        </w:tc>
        <w:tc>
          <w:tcPr>
            <w:tcW w:w="1350" w:type="dxa"/>
            <w:vAlign w:val="center"/>
          </w:tcPr>
          <w:p>
            <w:pPr>
              <w:rPr>
                <w:rFonts w:ascii="宋体" w:hAnsi="宋体" w:eastAsia="宋体" w:cs="宋体"/>
                <w:sz w:val="24"/>
                <w:szCs w:val="24"/>
              </w:rPr>
            </w:pPr>
            <w:r>
              <w:rPr>
                <w:rFonts w:hint="eastAsia" w:ascii="宋体" w:hAnsi="宋体" w:eastAsia="宋体" w:cs="宋体"/>
                <w:sz w:val="24"/>
                <w:szCs w:val="24"/>
              </w:rPr>
              <w:t>中国人民解放军空军军医大学</w:t>
            </w:r>
          </w:p>
        </w:tc>
        <w:tc>
          <w:tcPr>
            <w:tcW w:w="1350" w:type="dxa"/>
            <w:vAlign w:val="center"/>
          </w:tcPr>
          <w:p>
            <w:pPr>
              <w:rPr>
                <w:rFonts w:ascii="宋体" w:hAnsi="宋体" w:eastAsia="宋体" w:cs="宋体"/>
                <w:sz w:val="24"/>
                <w:szCs w:val="24"/>
              </w:rPr>
            </w:pPr>
            <w:r>
              <w:rPr>
                <w:rFonts w:hint="eastAsia" w:ascii="宋体" w:hAnsi="宋体" w:eastAsia="宋体" w:cs="宋体"/>
                <w:sz w:val="24"/>
                <w:szCs w:val="24"/>
              </w:rPr>
              <w:t>中国人民解放军空军军医大学</w:t>
            </w:r>
          </w:p>
        </w:tc>
        <w:tc>
          <w:tcPr>
            <w:tcW w:w="2541" w:type="dxa"/>
            <w:vAlign w:val="center"/>
          </w:tcPr>
          <w:p>
            <w:pPr>
              <w:rPr>
                <w:rFonts w:ascii="宋体" w:hAnsi="宋体" w:eastAsia="宋体" w:cs="宋体"/>
                <w:sz w:val="24"/>
                <w:szCs w:val="24"/>
              </w:rPr>
            </w:pPr>
            <w:r>
              <w:rPr>
                <w:rFonts w:hint="eastAsia" w:ascii="宋体" w:hAnsi="宋体" w:eastAsia="宋体" w:cs="宋体"/>
                <w:sz w:val="24"/>
                <w:szCs w:val="24"/>
              </w:rPr>
              <w:t>参与术后精准化综合治疗策略的研究</w:t>
            </w:r>
          </w:p>
        </w:tc>
      </w:tr>
    </w:tbl>
    <w:p>
      <w:pPr>
        <w:spacing w:beforeLines="50" w:line="340" w:lineRule="exact"/>
        <w:rPr>
          <w:rFonts w:ascii="宋体" w:hAnsi="宋体" w:eastAsia="宋体" w:cs="宋体"/>
          <w:sz w:val="24"/>
          <w:szCs w:val="24"/>
        </w:rPr>
      </w:pPr>
    </w:p>
    <w:p>
      <w:pPr>
        <w:spacing w:beforeLines="50" w:line="340" w:lineRule="exact"/>
        <w:rPr>
          <w:rFonts w:ascii="宋体" w:hAnsi="宋体" w:eastAsia="宋体" w:cs="宋体"/>
          <w:sz w:val="24"/>
          <w:szCs w:val="24"/>
        </w:rPr>
      </w:pPr>
    </w:p>
    <w:p>
      <w:pPr>
        <w:spacing w:beforeLines="50" w:line="340" w:lineRule="exact"/>
        <w:rPr>
          <w:rFonts w:ascii="宋体" w:hAnsi="宋体" w:eastAsia="宋体" w:cs="宋体"/>
          <w:sz w:val="24"/>
          <w:szCs w:val="24"/>
        </w:rPr>
      </w:pPr>
    </w:p>
    <w:p>
      <w:pPr>
        <w:spacing w:beforeLines="50" w:line="340" w:lineRule="exact"/>
        <w:rPr>
          <w:rFonts w:ascii="宋体" w:hAnsi="宋体" w:eastAsia="宋体" w:cs="宋体"/>
          <w:sz w:val="24"/>
          <w:szCs w:val="24"/>
        </w:rPr>
      </w:pPr>
      <w:r>
        <w:rPr>
          <w:rFonts w:hint="eastAsia" w:ascii="宋体" w:hAnsi="宋体" w:eastAsia="宋体" w:cs="宋体"/>
          <w:sz w:val="24"/>
          <w:szCs w:val="24"/>
        </w:rPr>
        <w:t>三、主要完成单位及创新推广贡献</w:t>
      </w:r>
    </w:p>
    <w:tbl>
      <w:tblPr>
        <w:tblStyle w:val="7"/>
        <w:tblW w:w="921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10"/>
        <w:gridCol w:w="770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555" w:hRule="exact"/>
          <w:jc w:val="center"/>
        </w:trPr>
        <w:tc>
          <w:tcPr>
            <w:tcW w:w="1510" w:type="dxa"/>
            <w:tcBorders>
              <w:top w:val="single" w:color="auto" w:sz="8" w:space="0"/>
              <w:left w:val="single" w:color="auto" w:sz="8" w:space="0"/>
              <w:bottom w:val="single" w:color="auto" w:sz="4" w:space="0"/>
              <w:right w:val="single" w:color="auto" w:sz="4" w:space="0"/>
            </w:tcBorders>
            <w:vAlign w:val="center"/>
          </w:tcPr>
          <w:p>
            <w:pPr>
              <w:spacing w:line="280" w:lineRule="exact"/>
              <w:jc w:val="center"/>
              <w:rPr>
                <w:rFonts w:ascii="宋体" w:hAnsi="宋体" w:eastAsia="宋体" w:cs="宋体"/>
                <w:sz w:val="24"/>
                <w:szCs w:val="24"/>
              </w:rPr>
            </w:pPr>
            <w:r>
              <w:rPr>
                <w:rFonts w:hint="eastAsia" w:ascii="宋体" w:hAnsi="宋体" w:eastAsia="宋体" w:cs="宋体"/>
                <w:sz w:val="24"/>
                <w:szCs w:val="24"/>
              </w:rPr>
              <w:t>单位名称</w:t>
            </w:r>
          </w:p>
        </w:tc>
        <w:tc>
          <w:tcPr>
            <w:tcW w:w="7700" w:type="dxa"/>
            <w:tcBorders>
              <w:top w:val="single" w:color="auto" w:sz="8" w:space="0"/>
              <w:left w:val="single" w:color="auto" w:sz="4" w:space="0"/>
              <w:bottom w:val="single" w:color="auto" w:sz="4" w:space="0"/>
              <w:right w:val="single" w:color="auto" w:sz="8" w:space="0"/>
            </w:tcBorders>
            <w:vAlign w:val="center"/>
          </w:tcPr>
          <w:p>
            <w:pPr>
              <w:spacing w:line="280" w:lineRule="exact"/>
              <w:jc w:val="center"/>
              <w:rPr>
                <w:rFonts w:ascii="宋体" w:hAnsi="宋体" w:eastAsia="宋体" w:cs="宋体"/>
                <w:sz w:val="24"/>
                <w:szCs w:val="24"/>
              </w:rPr>
            </w:pPr>
            <w:r>
              <w:rPr>
                <w:rFonts w:hint="eastAsia" w:ascii="宋体" w:hAnsi="宋体" w:eastAsia="宋体" w:cs="宋体"/>
                <w:sz w:val="24"/>
                <w:szCs w:val="24"/>
              </w:rPr>
              <w:t>中国人民解放军空军军医大学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cantSplit/>
          <w:trHeight w:val="2240" w:hRule="atLeast"/>
          <w:jc w:val="center"/>
        </w:trPr>
        <w:tc>
          <w:tcPr>
            <w:tcW w:w="9210" w:type="dxa"/>
            <w:gridSpan w:val="2"/>
            <w:tcBorders>
              <w:top w:val="single" w:color="auto" w:sz="4" w:space="0"/>
              <w:left w:val="single" w:color="auto" w:sz="8" w:space="0"/>
              <w:right w:val="single" w:color="auto" w:sz="8" w:space="0"/>
            </w:tcBorders>
          </w:tcPr>
          <w:p>
            <w:pPr>
              <w:spacing w:line="360" w:lineRule="exact"/>
              <w:rPr>
                <w:rFonts w:ascii="宋体" w:hAnsi="宋体" w:eastAsia="宋体" w:cs="宋体"/>
                <w:sz w:val="24"/>
                <w:szCs w:val="24"/>
              </w:rPr>
            </w:pPr>
            <w:r>
              <w:rPr>
                <w:rFonts w:hint="eastAsia" w:ascii="宋体" w:hAnsi="宋体" w:eastAsia="宋体" w:cs="宋体"/>
                <w:sz w:val="24"/>
                <w:szCs w:val="24"/>
              </w:rPr>
              <w:t>对本项目科技创新和应用推广情况的贡献：</w:t>
            </w:r>
          </w:p>
          <w:p>
            <w:pPr>
              <w:spacing w:line="360" w:lineRule="exact"/>
              <w:ind w:firstLine="480" w:firstLineChars="200"/>
              <w:rPr>
                <w:rFonts w:ascii="宋体" w:hAnsi="宋体" w:eastAsia="宋体" w:cs="宋体"/>
                <w:sz w:val="24"/>
                <w:szCs w:val="24"/>
              </w:rPr>
            </w:pPr>
            <w:r>
              <w:rPr>
                <w:rFonts w:hint="eastAsia" w:ascii="宋体" w:hAnsi="宋体" w:eastAsia="宋体" w:cs="宋体"/>
                <w:sz w:val="24"/>
                <w:szCs w:val="24"/>
              </w:rPr>
              <w:t>中国人民解放军空军军医大学（原第四军医大学）是本项目唯一主要完成单位，负责该项目的行政管理、组织实施及后勤保障，对创新点一至三均有贡献；包括配备相应人员设施，保障项目执行所需的公共设施和资金，组织相关课题的申报、执行、中期检查和结题验收，帮助支持各项基础和临床研究的开展和成果转化，强化知识产权保护等，提供整体支撑体系保证本项目的实施和完成。</w:t>
            </w:r>
          </w:p>
        </w:tc>
      </w:tr>
    </w:tbl>
    <w:p>
      <w:pPr>
        <w:spacing w:line="340" w:lineRule="exact"/>
        <w:rPr>
          <w:rFonts w:ascii="宋体" w:hAnsi="宋体" w:eastAsia="宋体" w:cs="宋体"/>
          <w:sz w:val="24"/>
          <w:szCs w:val="24"/>
        </w:rPr>
      </w:pPr>
    </w:p>
    <w:p>
      <w:pPr>
        <w:rPr>
          <w:rFonts w:ascii="宋体" w:hAnsi="宋体" w:eastAsia="宋体" w:cs="宋体"/>
          <w:sz w:val="24"/>
          <w:szCs w:val="24"/>
        </w:rPr>
      </w:pPr>
      <w:r>
        <w:rPr>
          <w:rFonts w:hint="eastAsia" w:ascii="宋体" w:hAnsi="宋体" w:eastAsia="宋体" w:cs="宋体"/>
          <w:sz w:val="24"/>
          <w:szCs w:val="24"/>
        </w:rPr>
        <w:t>四、提名者</w:t>
      </w:r>
    </w:p>
    <w:p>
      <w:pPr>
        <w:ind w:firstLine="420"/>
        <w:rPr>
          <w:rFonts w:ascii="宋体" w:hAnsi="宋体" w:eastAsia="宋体" w:cs="宋体"/>
          <w:sz w:val="24"/>
          <w:szCs w:val="24"/>
        </w:rPr>
      </w:pPr>
      <w:r>
        <w:rPr>
          <w:rFonts w:hint="eastAsia" w:ascii="宋体" w:hAnsi="宋体" w:eastAsia="宋体" w:cs="宋体"/>
          <w:sz w:val="24"/>
          <w:szCs w:val="24"/>
        </w:rPr>
        <w:t>陕西省卫生健康委员会</w:t>
      </w:r>
    </w:p>
    <w:p>
      <w:pPr>
        <w:ind w:firstLine="420"/>
        <w:rPr>
          <w:rFonts w:ascii="宋体" w:hAnsi="宋体" w:eastAsia="宋体" w:cs="宋体"/>
          <w:sz w:val="24"/>
          <w:szCs w:val="24"/>
        </w:rPr>
      </w:pPr>
    </w:p>
    <w:p>
      <w:pPr>
        <w:rPr>
          <w:rFonts w:ascii="宋体" w:hAnsi="宋体" w:eastAsia="宋体" w:cs="宋体"/>
          <w:sz w:val="24"/>
          <w:szCs w:val="24"/>
        </w:rPr>
      </w:pPr>
      <w:r>
        <w:rPr>
          <w:rFonts w:hint="eastAsia" w:ascii="宋体" w:hAnsi="宋体" w:eastAsia="宋体" w:cs="宋体"/>
          <w:sz w:val="24"/>
          <w:szCs w:val="24"/>
        </w:rPr>
        <w:t>五、提名意见</w:t>
      </w:r>
    </w:p>
    <w:p>
      <w:pPr>
        <w:pStyle w:val="10"/>
        <w:ind w:left="420" w:firstLine="0" w:firstLineChars="0"/>
        <w:rPr>
          <w:rFonts w:ascii="宋体" w:hAnsi="宋体" w:eastAsia="宋体" w:cs="宋体"/>
          <w:bCs/>
          <w:spacing w:val="2"/>
          <w:sz w:val="24"/>
          <w:szCs w:val="24"/>
        </w:rPr>
      </w:pPr>
      <w:r>
        <w:rPr>
          <w:rFonts w:hint="eastAsia" w:ascii="宋体" w:hAnsi="宋体" w:eastAsia="宋体" w:cs="宋体"/>
          <w:bCs/>
          <w:spacing w:val="2"/>
          <w:sz w:val="24"/>
          <w:szCs w:val="24"/>
          <w:lang w:val="en-US" w:eastAsia="zh-CN"/>
        </w:rPr>
        <w:t>拟</w:t>
      </w:r>
      <w:r>
        <w:rPr>
          <w:rFonts w:hint="eastAsia" w:ascii="宋体" w:hAnsi="宋体" w:eastAsia="宋体" w:cs="宋体"/>
          <w:bCs/>
          <w:spacing w:val="2"/>
          <w:sz w:val="24"/>
          <w:szCs w:val="24"/>
        </w:rPr>
        <w:t>提名该项目为陕西省科学技术进步奖</w:t>
      </w:r>
      <w:bookmarkStart w:id="0" w:name="_GoBack"/>
      <w:bookmarkEnd w:id="0"/>
      <w:r>
        <w:rPr>
          <w:rFonts w:hint="eastAsia" w:ascii="宋体" w:hAnsi="宋体" w:eastAsia="宋体" w:cs="宋体"/>
          <w:bCs/>
          <w:spacing w:val="2"/>
          <w:sz w:val="24"/>
          <w:szCs w:val="24"/>
        </w:rPr>
        <w:t>。</w:t>
      </w:r>
    </w:p>
    <w:p>
      <w:pPr>
        <w:rPr>
          <w:rFonts w:ascii="宋体" w:hAnsi="宋体" w:eastAsia="宋体" w:cs="宋体"/>
          <w:sz w:val="24"/>
          <w:szCs w:val="24"/>
        </w:rPr>
      </w:pPr>
    </w:p>
    <w:p>
      <w:pPr>
        <w:rPr>
          <w:rFonts w:ascii="宋体" w:hAnsi="宋体" w:eastAsia="宋体" w:cs="宋体"/>
          <w:sz w:val="24"/>
          <w:szCs w:val="24"/>
        </w:rPr>
      </w:pPr>
    </w:p>
    <w:p>
      <w:pPr>
        <w:rPr>
          <w:rFonts w:ascii="宋体" w:hAnsi="宋体" w:eastAsia="宋体" w:cs="宋体"/>
          <w:sz w:val="24"/>
          <w:szCs w:val="24"/>
        </w:rPr>
      </w:pPr>
    </w:p>
    <w:p>
      <w:pPr>
        <w:rPr>
          <w:rFonts w:ascii="宋体" w:hAnsi="宋体" w:eastAsia="宋体" w:cs="宋体"/>
          <w:sz w:val="24"/>
          <w:szCs w:val="24"/>
        </w:rPr>
      </w:pPr>
    </w:p>
    <w:p>
      <w:pPr>
        <w:rPr>
          <w:rFonts w:ascii="宋体" w:hAnsi="宋体" w:eastAsia="宋体" w:cs="宋体"/>
          <w:sz w:val="24"/>
          <w:szCs w:val="24"/>
        </w:rPr>
      </w:pPr>
    </w:p>
    <w:p>
      <w:pPr>
        <w:rPr>
          <w:rFonts w:ascii="宋体" w:hAnsi="宋体" w:eastAsia="宋体" w:cs="宋体"/>
          <w:sz w:val="24"/>
          <w:szCs w:val="24"/>
        </w:rPr>
      </w:pPr>
    </w:p>
    <w:p>
      <w:pPr>
        <w:rPr>
          <w:rFonts w:ascii="宋体" w:hAnsi="宋体" w:eastAsia="宋体" w:cs="宋体"/>
          <w:sz w:val="24"/>
          <w:szCs w:val="24"/>
        </w:rPr>
      </w:pPr>
    </w:p>
    <w:p>
      <w:pPr>
        <w:rPr>
          <w:rFonts w:ascii="宋体" w:hAnsi="宋体" w:eastAsia="宋体" w:cs="宋体"/>
          <w:sz w:val="24"/>
          <w:szCs w:val="24"/>
        </w:rPr>
      </w:pPr>
    </w:p>
    <w:p>
      <w:pPr>
        <w:rPr>
          <w:rFonts w:ascii="宋体" w:hAnsi="宋体" w:eastAsia="宋体" w:cs="宋体"/>
          <w:sz w:val="24"/>
          <w:szCs w:val="24"/>
        </w:rPr>
      </w:pPr>
    </w:p>
    <w:p>
      <w:pPr>
        <w:rPr>
          <w:rFonts w:ascii="宋体" w:hAnsi="宋体" w:eastAsia="宋体" w:cs="宋体"/>
          <w:sz w:val="24"/>
          <w:szCs w:val="24"/>
        </w:rPr>
      </w:pPr>
    </w:p>
    <w:p>
      <w:pPr>
        <w:rPr>
          <w:rFonts w:ascii="宋体" w:hAnsi="宋体" w:eastAsia="宋体" w:cs="宋体"/>
          <w:sz w:val="24"/>
          <w:szCs w:val="24"/>
        </w:rPr>
      </w:pPr>
    </w:p>
    <w:p>
      <w:pPr>
        <w:rPr>
          <w:rFonts w:ascii="宋体" w:hAnsi="宋体" w:eastAsia="宋体" w:cs="宋体"/>
          <w:sz w:val="24"/>
          <w:szCs w:val="24"/>
        </w:rPr>
      </w:pPr>
    </w:p>
    <w:p>
      <w:pPr>
        <w:rPr>
          <w:rFonts w:ascii="宋体" w:hAnsi="宋体" w:eastAsia="宋体" w:cs="宋体"/>
          <w:sz w:val="24"/>
          <w:szCs w:val="24"/>
        </w:rPr>
      </w:pPr>
    </w:p>
    <w:p>
      <w:pPr>
        <w:rPr>
          <w:rFonts w:ascii="宋体" w:hAnsi="宋体" w:eastAsia="宋体" w:cs="宋体"/>
          <w:sz w:val="24"/>
          <w:szCs w:val="24"/>
        </w:rPr>
      </w:pPr>
    </w:p>
    <w:p>
      <w:pPr>
        <w:rPr>
          <w:rFonts w:ascii="宋体" w:hAnsi="宋体" w:eastAsia="宋体" w:cs="宋体"/>
          <w:sz w:val="24"/>
          <w:szCs w:val="24"/>
        </w:rPr>
      </w:pPr>
    </w:p>
    <w:p>
      <w:pPr>
        <w:rPr>
          <w:rFonts w:ascii="宋体" w:hAnsi="宋体" w:eastAsia="宋体" w:cs="宋体"/>
          <w:sz w:val="24"/>
          <w:szCs w:val="24"/>
        </w:rPr>
      </w:pPr>
    </w:p>
    <w:p>
      <w:pPr>
        <w:rPr>
          <w:rFonts w:ascii="宋体" w:hAnsi="宋体" w:eastAsia="宋体" w:cs="宋体"/>
          <w:sz w:val="24"/>
          <w:szCs w:val="24"/>
        </w:rPr>
      </w:pPr>
    </w:p>
    <w:p>
      <w:pPr>
        <w:rPr>
          <w:rFonts w:ascii="宋体" w:hAnsi="宋体" w:eastAsia="宋体" w:cs="宋体"/>
          <w:sz w:val="24"/>
          <w:szCs w:val="24"/>
        </w:rPr>
      </w:pPr>
    </w:p>
    <w:p>
      <w:pPr>
        <w:rPr>
          <w:rFonts w:ascii="宋体" w:hAnsi="宋体" w:eastAsia="宋体" w:cs="宋体"/>
          <w:sz w:val="24"/>
          <w:szCs w:val="24"/>
        </w:rPr>
      </w:pPr>
    </w:p>
    <w:p>
      <w:pPr>
        <w:rPr>
          <w:rFonts w:ascii="宋体" w:hAnsi="宋体" w:eastAsia="宋体" w:cs="宋体"/>
          <w:sz w:val="24"/>
          <w:szCs w:val="24"/>
        </w:rPr>
      </w:pPr>
    </w:p>
    <w:p>
      <w:pPr>
        <w:rPr>
          <w:rFonts w:ascii="宋体" w:hAnsi="宋体" w:eastAsia="宋体" w:cs="宋体"/>
          <w:sz w:val="24"/>
          <w:szCs w:val="24"/>
        </w:rPr>
      </w:pPr>
    </w:p>
    <w:p>
      <w:pPr>
        <w:rPr>
          <w:rFonts w:ascii="宋体" w:hAnsi="宋体" w:eastAsia="宋体" w:cs="宋体"/>
          <w:sz w:val="24"/>
          <w:szCs w:val="24"/>
        </w:rPr>
      </w:pPr>
    </w:p>
    <w:p>
      <w:pPr>
        <w:rPr>
          <w:rFonts w:ascii="宋体" w:hAnsi="宋体" w:eastAsia="宋体" w:cs="宋体"/>
          <w:sz w:val="24"/>
          <w:szCs w:val="24"/>
        </w:rPr>
      </w:pPr>
    </w:p>
    <w:p>
      <w:pPr>
        <w:rPr>
          <w:rFonts w:ascii="宋体" w:hAnsi="宋体" w:eastAsia="宋体" w:cs="宋体"/>
          <w:sz w:val="24"/>
          <w:szCs w:val="24"/>
        </w:rPr>
      </w:pPr>
    </w:p>
    <w:p>
      <w:pPr>
        <w:rPr>
          <w:rFonts w:ascii="宋体" w:hAnsi="宋体" w:eastAsia="宋体" w:cs="宋体"/>
          <w:sz w:val="24"/>
          <w:szCs w:val="24"/>
        </w:rPr>
      </w:pPr>
    </w:p>
    <w:p>
      <w:pPr>
        <w:rPr>
          <w:rFonts w:ascii="宋体" w:hAnsi="宋体" w:eastAsia="宋体" w:cs="宋体"/>
          <w:sz w:val="24"/>
          <w:szCs w:val="24"/>
        </w:rPr>
      </w:pPr>
      <w:r>
        <w:rPr>
          <w:rFonts w:hint="eastAsia" w:ascii="宋体" w:hAnsi="宋体" w:eastAsia="宋体" w:cs="宋体"/>
          <w:sz w:val="24"/>
          <w:szCs w:val="24"/>
        </w:rPr>
        <w:t>六、项目简介</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80" w:hRule="atLeast"/>
        </w:trPr>
        <w:tc>
          <w:tcPr>
            <w:tcW w:w="8897" w:type="dxa"/>
          </w:tcPr>
          <w:p>
            <w:pPr>
              <w:widowControl/>
              <w:spacing w:line="360" w:lineRule="auto"/>
              <w:ind w:firstLine="480" w:firstLineChars="200"/>
              <w:jc w:val="left"/>
              <w:rPr>
                <w:rFonts w:ascii="宋体" w:hAnsi="宋体" w:cs="宋体"/>
                <w:sz w:val="24"/>
                <w:szCs w:val="24"/>
              </w:rPr>
            </w:pPr>
            <w:r>
              <w:rPr>
                <w:rFonts w:hint="eastAsia" w:ascii="宋体" w:hAnsi="宋体" w:cs="宋体"/>
                <w:sz w:val="24"/>
                <w:szCs w:val="24"/>
              </w:rPr>
              <w:t>胃癌是我国常见的恶性消化道肿瘤之一，近年来发病率居高不下，严重危害国人健康。由于胃癌缺乏预警、早诊的有效手段，多数患者首诊时已届进展期。目前胃癌的主要治疗手段是以外科手术为主的综合治疗，而贯穿术前、术中、术后的围手术期治疗对于提高胃癌患者的长期生存时间和生活质量起重要作用。因此，有必要针对胃癌的围手术期治疗开展深入研究，建立个体化的精准治疗方案。中国人民解放军空军军医大学第一附属医院胃肠外科以胃癌围手术期治疗为主要研究方向，研究内容包括术前精准化预判转归、术中精准化实施手术、术后精准化综合治疗。本项目组经过十余年的不懈努力，在十余项科研课题的资助下，取得以下创新性成果：</w:t>
            </w:r>
          </w:p>
          <w:p>
            <w:pPr>
              <w:pStyle w:val="2"/>
              <w:ind w:firstLine="482"/>
              <w:jc w:val="left"/>
              <w:rPr>
                <w:rFonts w:ascii="宋体" w:hAnsi="宋体" w:cs="宋体"/>
                <w:szCs w:val="24"/>
              </w:rPr>
            </w:pPr>
            <w:r>
              <w:rPr>
                <w:rFonts w:hint="eastAsia" w:ascii="宋体" w:hAnsi="宋体" w:cs="宋体"/>
                <w:b/>
                <w:szCs w:val="24"/>
                <w:u w:val="single"/>
              </w:rPr>
              <w:t>科技创新点一：率先发现多个胃癌患者的术前预警指标，术前精准化预判转归，为个体化治疗及预后评估提供临床指导。</w:t>
            </w:r>
            <w:r>
              <w:rPr>
                <w:rFonts w:hint="eastAsia" w:ascii="宋体" w:hAnsi="宋体" w:cs="宋体"/>
                <w:szCs w:val="24"/>
              </w:rPr>
              <w:t>（1）率先发现能评估</w:t>
            </w:r>
            <w:r>
              <w:rPr>
                <w:rFonts w:hint="eastAsia" w:ascii="宋体" w:hAnsi="宋体" w:cs="宋体"/>
                <w:kern w:val="0"/>
                <w:szCs w:val="24"/>
              </w:rPr>
              <w:t>术前是否行新辅助化疗的联合预警指标。建立了包含8100例胃癌患者的临床数据库，</w:t>
            </w:r>
            <w:r>
              <w:rPr>
                <w:rFonts w:hint="eastAsia" w:ascii="宋体" w:hAnsi="宋体" w:cs="宋体"/>
                <w:szCs w:val="24"/>
              </w:rPr>
              <w:t>发现低身体质量指数（BMI）、低血清白蛋白、循环肿瘤细胞阳性和肺功能不全是术后预后不良的预警指标，提出具有一个以上预警指标的T2以上患者先行新辅助化疗，解决了“先手术还是先化疗”问题。（2）率先发现</w:t>
            </w:r>
            <w:r>
              <w:rPr>
                <w:rFonts w:hint="eastAsia" w:ascii="宋体" w:hAnsi="宋体" w:cs="宋体"/>
                <w:kern w:val="0"/>
                <w:szCs w:val="24"/>
              </w:rPr>
              <w:t>预警术后吻合口瘘的联合指标。发现术前低血清白蛋白、肺功能不全和手术时间长是吻合口瘘的预警指标，此类预警指标高的患者是需要预防吻合口瘘的重点人群。（3）发现多个预测术后转归的预警指标。研究发现，年龄、血型、</w:t>
            </w:r>
            <w:r>
              <w:rPr>
                <w:rFonts w:hint="eastAsia" w:ascii="宋体" w:hAnsi="宋体" w:cs="宋体"/>
                <w:szCs w:val="24"/>
              </w:rPr>
              <w:t>BMI、肺功能、</w:t>
            </w:r>
            <w:r>
              <w:rPr>
                <w:rFonts w:hint="eastAsia" w:ascii="宋体" w:hAnsi="宋体" w:cs="宋体"/>
                <w:kern w:val="0"/>
                <w:szCs w:val="24"/>
              </w:rPr>
              <w:t>肿瘤部位、肿瘤标志物水平、外周血淋巴细胞和单核细胞计数、肿瘤体</w:t>
            </w:r>
            <w:r>
              <w:rPr>
                <w:rFonts w:hint="eastAsia" w:ascii="宋体" w:hAnsi="宋体" w:cs="宋体"/>
                <w:szCs w:val="24"/>
              </w:rPr>
              <w:t>积（V）、</w:t>
            </w:r>
            <w:r>
              <w:rPr>
                <w:rFonts w:hint="eastAsia" w:ascii="宋体" w:hAnsi="宋体" w:cs="宋体"/>
                <w:kern w:val="0"/>
                <w:szCs w:val="24"/>
              </w:rPr>
              <w:t>VNM分期、病理类型、发热等临床指标对预测胃癌患者预后有重</w:t>
            </w:r>
            <w:r>
              <w:rPr>
                <w:rFonts w:hint="eastAsia" w:ascii="宋体" w:hAnsi="宋体" w:cs="宋体"/>
                <w:szCs w:val="24"/>
              </w:rPr>
              <w:t>要的临床意义。</w:t>
            </w:r>
          </w:p>
          <w:p>
            <w:pPr>
              <w:pStyle w:val="6"/>
              <w:kinsoku w:val="0"/>
              <w:overflowPunct w:val="0"/>
              <w:spacing w:before="106" w:beforeAutospacing="0" w:after="0" w:afterAutospacing="0" w:line="360" w:lineRule="auto"/>
              <w:ind w:firstLine="482" w:firstLineChars="200"/>
              <w:jc w:val="both"/>
              <w:textAlignment w:val="baseline"/>
              <w:rPr>
                <w:rFonts w:cs="宋体"/>
              </w:rPr>
            </w:pPr>
            <w:r>
              <w:rPr>
                <w:rFonts w:hint="eastAsia" w:cs="宋体"/>
                <w:b/>
                <w:bCs/>
                <w:u w:val="single"/>
              </w:rPr>
              <w:t>科技创新点二：率先开展多个胃癌根治性手术新术式，针对早期胃癌、进展期胃癌和晚期胃癌开展术中精准化的手术策略，降低了术后并发症的发生，提高了患者生活质量。</w:t>
            </w:r>
            <w:r>
              <w:rPr>
                <w:rFonts w:hint="eastAsia" w:cs="宋体"/>
              </w:rPr>
              <w:t>（1）自主研发的两种改良式胃癌根治术（保留肋弓和部分膈肌的改良胸腹联合贲门癌根治手术，生物材料补片精准加强的改良贲门癌根治手术）经科技查新为国内首创；研究表明，两种改良手术术后的胃癌患者较传统手术患者的肺部并发症发生率分别降低了11.38%和15.33%。（2）建立了早期胃癌精准化治疗模式：对ESD术后发现肿瘤侵及粘膜下层且切缘阴性的早期胃癌患者，建议行ESD联合腹腔镜单纯淋巴结清扫术。（3）对于进展期胃癌患者，率先开展了食管-管胃前壁吻合术和限制型双通道空肠间置术，结果表明，术后患者返流症状轻，生活质量显著改善。（4）对于进展期下部胃癌患者，发现行远端胃切除比全胃切除的5年总生存率更高，因此推荐行远端胃切除；还发现远端胃切除毕Ⅰ式较毕Ⅱ式能够缩短手术时间，减少术后住院时间，而且未增加并发症。（5）对于晚期胃癌患者，建立了联合姑息减瘤手术、化疗、腹腔热灌注治疗的“晚期胃癌精准化治疗”模式。</w:t>
            </w:r>
          </w:p>
          <w:p>
            <w:pPr>
              <w:widowControl/>
              <w:spacing w:line="360" w:lineRule="auto"/>
              <w:ind w:firstLine="482" w:firstLineChars="200"/>
              <w:jc w:val="left"/>
              <w:rPr>
                <w:rFonts w:ascii="宋体" w:hAnsi="宋体" w:cs="宋体"/>
                <w:sz w:val="24"/>
                <w:szCs w:val="24"/>
              </w:rPr>
            </w:pPr>
            <w:r>
              <w:rPr>
                <w:rFonts w:hint="eastAsia" w:ascii="宋体" w:hAnsi="宋体" w:cs="宋体"/>
                <w:b/>
                <w:bCs/>
                <w:sz w:val="24"/>
                <w:szCs w:val="24"/>
                <w:u w:val="single"/>
              </w:rPr>
              <w:t>科技创新点三：建立了术后精准化综合治疗策略，促进患者术后康复和提高化疗效果，从而有效延长患者的生存期。</w:t>
            </w:r>
            <w:r>
              <w:rPr>
                <w:rFonts w:hint="eastAsia" w:ascii="宋体" w:hAnsi="宋体" w:cs="宋体"/>
                <w:sz w:val="24"/>
                <w:szCs w:val="24"/>
              </w:rPr>
              <w:t>（1）率先建立了胃癌患者的围手术期快速康复治疗模式。通过建立无痛病房管理路径和胃癌快速康复标准化方案，促进患者器官、功能早期恢复，缩短了住院时间。（2）率先发现能预测术后辅助化疗敏感性的联合指标。发现ZNRD1、</w:t>
            </w:r>
            <w:r>
              <w:rPr>
                <w:rFonts w:hint="eastAsia" w:ascii="宋体" w:hAnsi="宋体" w:cs="宋体"/>
                <w:kern w:val="0"/>
                <w:sz w:val="24"/>
                <w:szCs w:val="24"/>
              </w:rPr>
              <w:t>MGr1-Ag/37LRP、</w:t>
            </w:r>
            <w:r>
              <w:rPr>
                <w:rFonts w:hint="eastAsia" w:ascii="宋体" w:hAnsi="宋体" w:cs="宋体"/>
                <w:sz w:val="24"/>
                <w:szCs w:val="24"/>
              </w:rPr>
              <w:t>KGFR、FGFR2、miR-21、EGFR、miR-214、miR-483、miR-210是可用于胃癌预告转归的分子群，且和化疗耐药相关；还发现动态检测循环肿瘤细胞对预测胃癌患者的化疗敏感性和长期预后有重要临床意义；通过检测这些化疗敏感性相关预测指标，有助于选择和调整化疗方案，提高了术后化疗的疗效。（3）率先开展腹腔热灌注治疗，通过联合多个化疗药物增强治疗效果, 提高了晚期胃癌患者的生存期。（4）针对胃癌转移、耐药相关分子开展基础和临床研究，发现多个胃癌治疗的新靶点，为研发新的分子靶向药物奠定了基础。</w:t>
            </w:r>
          </w:p>
          <w:p>
            <w:pPr>
              <w:widowControl/>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本项目对推动西北地区乃至全国的胃癌精准诊疗具有重要的理论价值和实际指导意义。发表文章72篇，其中SCI论文54篇（</w:t>
            </w:r>
            <w:r>
              <w:rPr>
                <w:rFonts w:hint="eastAsia" w:ascii="宋体" w:hAnsi="宋体" w:cs="宋体"/>
                <w:sz w:val="24"/>
                <w:szCs w:val="24"/>
              </w:rPr>
              <w:t>引用1071次</w:t>
            </w:r>
            <w:r>
              <w:rPr>
                <w:rFonts w:hint="eastAsia" w:ascii="宋体" w:hAnsi="宋体" w:cs="宋体"/>
                <w:kern w:val="0"/>
                <w:sz w:val="24"/>
                <w:szCs w:val="24"/>
              </w:rPr>
              <w:t>），中文核心论文18篇（</w:t>
            </w:r>
            <w:r>
              <w:rPr>
                <w:rFonts w:hint="eastAsia" w:ascii="宋体" w:hAnsi="宋体" w:cs="宋体"/>
                <w:sz w:val="24"/>
                <w:szCs w:val="24"/>
              </w:rPr>
              <w:t>引用120次</w:t>
            </w:r>
            <w:r>
              <w:rPr>
                <w:rFonts w:hint="eastAsia" w:ascii="宋体" w:hAnsi="宋体" w:cs="宋体"/>
                <w:kern w:val="0"/>
                <w:sz w:val="24"/>
                <w:szCs w:val="24"/>
              </w:rPr>
              <w:t>），主编专著6部；本研究方向目前已经培养博士12名、硕士17名、专科进修医师67名；获得重要学术任职14个；主办学术会议及培训班19次，受邀进行国际大会特邀专题报告15次，在全国学术会议做专题报告近百次，获优秀论文或壁报奖30余次；获全国优秀博士学位论文1篇；自主研发的两种改良式胃癌根治术在《中国医师报》专栏进行了报道；本项目主要完成人被评为“中国十大医学创新专家”、陕西省青年科技新星、原总后勤部优秀青年科技人才扶持对象，并入选陕西省“三秦人才”奖励计划和空军高层次科技人才。研究成果在全国20余家单位推广应用，累计服务七千余例胃癌患者，显著降低了胃癌患者术后并发症的发生率，提高了胃癌患者的生存时间和生活质量，取得显著的社会和经济效益。</w:t>
            </w:r>
          </w:p>
        </w:tc>
      </w:tr>
    </w:tbl>
    <w:p>
      <w:pPr>
        <w:widowControl/>
        <w:spacing w:line="360" w:lineRule="auto"/>
        <w:rPr>
          <w:rFonts w:ascii="宋体" w:hAnsi="宋体" w:eastAsia="宋体" w:cs="宋体"/>
          <w:kern w:val="0"/>
          <w:sz w:val="24"/>
          <w:szCs w:val="24"/>
        </w:rPr>
      </w:pPr>
    </w:p>
    <w:p>
      <w:pPr>
        <w:rPr>
          <w:rFonts w:ascii="宋体" w:hAnsi="宋体" w:eastAsia="宋体" w:cs="宋体"/>
          <w:sz w:val="24"/>
          <w:szCs w:val="24"/>
        </w:rPr>
      </w:pPr>
    </w:p>
    <w:p>
      <w:pPr>
        <w:rPr>
          <w:rFonts w:ascii="宋体" w:hAnsi="宋体" w:eastAsia="宋体" w:cs="宋体"/>
          <w:sz w:val="24"/>
          <w:szCs w:val="24"/>
        </w:rPr>
      </w:pPr>
      <w:r>
        <w:rPr>
          <w:rFonts w:hint="eastAsia" w:ascii="宋体" w:hAnsi="宋体" w:eastAsia="宋体" w:cs="宋体"/>
          <w:sz w:val="24"/>
          <w:szCs w:val="24"/>
        </w:rPr>
        <w:t>七、客观评价</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83" w:hRule="atLeast"/>
        </w:trPr>
        <w:tc>
          <w:tcPr>
            <w:tcW w:w="8897" w:type="dxa"/>
          </w:tcPr>
          <w:p>
            <w:pPr>
              <w:pStyle w:val="2"/>
              <w:ind w:firstLine="482"/>
              <w:rPr>
                <w:rFonts w:ascii="宋体" w:hAnsi="宋体" w:cs="宋体"/>
                <w:b/>
                <w:kern w:val="0"/>
                <w:szCs w:val="24"/>
              </w:rPr>
            </w:pPr>
            <w:r>
              <w:rPr>
                <w:rFonts w:hint="eastAsia" w:ascii="宋体" w:hAnsi="宋体" w:cs="宋体"/>
                <w:b/>
                <w:kern w:val="0"/>
                <w:szCs w:val="24"/>
                <w:u w:val="single"/>
              </w:rPr>
              <w:t>一、</w:t>
            </w:r>
            <w:r>
              <w:rPr>
                <w:rFonts w:hint="eastAsia" w:ascii="宋体" w:hAnsi="宋体" w:cs="宋体"/>
                <w:b/>
                <w:szCs w:val="24"/>
                <w:u w:val="single"/>
              </w:rPr>
              <w:t>研究成果的第三方评价</w:t>
            </w:r>
          </w:p>
          <w:p>
            <w:pPr>
              <w:pStyle w:val="2"/>
              <w:rPr>
                <w:rFonts w:ascii="宋体" w:hAnsi="宋体" w:cs="宋体"/>
                <w:kern w:val="0"/>
                <w:szCs w:val="24"/>
              </w:rPr>
            </w:pPr>
            <w:r>
              <w:rPr>
                <w:rFonts w:hint="eastAsia" w:ascii="宋体" w:hAnsi="宋体" w:cs="宋体"/>
                <w:szCs w:val="24"/>
              </w:rPr>
              <w:t>（1）</w:t>
            </w:r>
            <w:r>
              <w:rPr>
                <w:rFonts w:hint="eastAsia" w:ascii="宋体" w:hAnsi="宋体" w:cs="宋体"/>
                <w:kern w:val="0"/>
                <w:szCs w:val="24"/>
              </w:rPr>
              <w:t>本项目关于“低</w:t>
            </w:r>
            <w:r>
              <w:rPr>
                <w:rFonts w:hint="eastAsia" w:ascii="宋体" w:hAnsi="宋体" w:cs="宋体"/>
                <w:szCs w:val="24"/>
              </w:rPr>
              <w:t>身体质量指数</w:t>
            </w:r>
            <w:r>
              <w:rPr>
                <w:rFonts w:hint="eastAsia" w:ascii="宋体" w:hAnsi="宋体" w:cs="宋体"/>
                <w:kern w:val="0"/>
                <w:szCs w:val="24"/>
              </w:rPr>
              <w:t>胃癌患者的长期生存率较差”的发现被</w:t>
            </w:r>
            <w:r>
              <w:rPr>
                <w:rFonts w:hint="eastAsia" w:ascii="宋体" w:hAnsi="宋体" w:cs="宋体"/>
                <w:bCs/>
                <w:kern w:val="0"/>
                <w:szCs w:val="24"/>
              </w:rPr>
              <w:t>慕尼黑工业大学病理学研究所Gisela Keller教授和</w:t>
            </w:r>
            <w:r>
              <w:rPr>
                <w:rFonts w:hint="eastAsia" w:ascii="宋体" w:hAnsi="宋体" w:cs="宋体"/>
                <w:kern w:val="0"/>
                <w:szCs w:val="24"/>
              </w:rPr>
              <w:t>日本静冈癌症中心Masanori Terashima教授分别在Cancers (13(5):1–13)和Gastric Cancer(2019,22:864–872)中引用，评价为“低</w:t>
            </w:r>
            <w:r>
              <w:rPr>
                <w:rFonts w:hint="eastAsia" w:ascii="宋体" w:hAnsi="宋体" w:cs="宋体"/>
                <w:szCs w:val="24"/>
              </w:rPr>
              <w:t>身体质量指数对胃癌患者预后不良具有重要预警价值</w:t>
            </w:r>
            <w:r>
              <w:rPr>
                <w:rFonts w:hint="eastAsia" w:ascii="宋体" w:hAnsi="宋体" w:cs="宋体"/>
                <w:kern w:val="0"/>
                <w:szCs w:val="24"/>
              </w:rPr>
              <w:t>”。韩国首尔大学医学院Keehoon Jung教授在Front Immunol(2019,10:1817)发表的综述中引用了本项目提出的“外周血单核细胞计数增高预示胃癌患者预后较差”的结论，肯定了该发现在评估肿瘤预后中的重要性。美国密歇根大学Juanita L. Merchant教授在J Gastroenterol(2017,52(1):39-49)中引用了本项目关于“联合检测MG7-Ag和COX-2有助于预测早期胃癌的发生”的结论。</w:t>
            </w:r>
          </w:p>
          <w:p>
            <w:pPr>
              <w:pStyle w:val="2"/>
              <w:rPr>
                <w:rFonts w:ascii="宋体" w:hAnsi="宋体" w:cs="宋体"/>
                <w:szCs w:val="24"/>
              </w:rPr>
            </w:pPr>
            <w:r>
              <w:rPr>
                <w:rFonts w:hint="eastAsia" w:ascii="宋体" w:hAnsi="宋体" w:cs="宋体"/>
                <w:szCs w:val="24"/>
              </w:rPr>
              <w:t>（2）韩国2018年胃癌临床指南(J Gastric Cancer. 2019,19(1):1-48)引用本项目关于“针对肿瘤侵及粘膜下层且切缘阴性的</w:t>
            </w:r>
            <w:r>
              <w:rPr>
                <w:rFonts w:hint="eastAsia" w:ascii="宋体" w:hAnsi="宋体" w:cs="宋体"/>
                <w:kern w:val="0"/>
                <w:szCs w:val="24"/>
              </w:rPr>
              <w:t>非高分化胃癌</w:t>
            </w:r>
            <w:r>
              <w:rPr>
                <w:rFonts w:hint="eastAsia" w:ascii="宋体" w:hAnsi="宋体" w:cs="宋体"/>
                <w:szCs w:val="24"/>
              </w:rPr>
              <w:t>患者，建议行ESD联合腹腔镜单纯淋巴结清扫术”的结论，评价为“更新了对早期胃癌治疗的理念”。北京大学肿瘤医院苏向前教授在中华胃肠外科杂志(2019,22(3):273-278)引用和肯定了本项目关于“对于进展期胃癌患者，行远端胃切除毕Ⅰ式手术比毕Ⅱ式缩短了手术时间，减少了术后住院时间，而且未增加并发症”的发现。</w:t>
            </w:r>
          </w:p>
          <w:p>
            <w:pPr>
              <w:pStyle w:val="2"/>
              <w:rPr>
                <w:rFonts w:ascii="宋体" w:hAnsi="宋体" w:cs="宋体"/>
                <w:szCs w:val="24"/>
              </w:rPr>
            </w:pPr>
            <w:r>
              <w:rPr>
                <w:rFonts w:hint="eastAsia" w:ascii="宋体" w:hAnsi="宋体" w:cs="宋体"/>
                <w:szCs w:val="24"/>
              </w:rPr>
              <w:t>（3）美国Vivian E. Strong和Olle Ljungqvist分别在Ann Surg Oncol(2021,28:6947-6954)和JAMA Surg(2021,156(8):775-784)引用了本项目关于“建立胃癌患者的围手术期快速康复治疗模式”的研究成果，评价“快速康复治疗可以减少胃癌患者的住院时间，且没有增加术后并发症的发生”。</w:t>
            </w:r>
          </w:p>
          <w:p>
            <w:pPr>
              <w:spacing w:line="360" w:lineRule="auto"/>
              <w:ind w:firstLine="482" w:firstLineChars="200"/>
              <w:rPr>
                <w:rFonts w:ascii="宋体" w:hAnsi="宋体" w:cs="宋体"/>
                <w:b/>
                <w:sz w:val="24"/>
                <w:szCs w:val="24"/>
                <w:u w:val="single"/>
              </w:rPr>
            </w:pPr>
            <w:r>
              <w:rPr>
                <w:rFonts w:hint="eastAsia" w:ascii="宋体" w:hAnsi="宋体" w:cs="宋体"/>
                <w:b/>
                <w:sz w:val="24"/>
                <w:szCs w:val="24"/>
                <w:u w:val="single"/>
              </w:rPr>
              <w:t>二、项目查新</w:t>
            </w:r>
          </w:p>
          <w:p>
            <w:pPr>
              <w:spacing w:line="360" w:lineRule="auto"/>
              <w:ind w:firstLine="480" w:firstLineChars="200"/>
              <w:rPr>
                <w:rFonts w:ascii="宋体" w:hAnsi="宋体" w:cs="宋体"/>
                <w:sz w:val="24"/>
                <w:szCs w:val="24"/>
              </w:rPr>
            </w:pPr>
            <w:r>
              <w:rPr>
                <w:rFonts w:hint="eastAsia" w:ascii="宋体" w:hAnsi="宋体" w:cs="宋体"/>
                <w:sz w:val="24"/>
                <w:szCs w:val="24"/>
              </w:rPr>
              <w:t>（1）2020年在陕西省科学技术信息研究所科技查新中心完成的查新报告（编号：ZX20200900029）证明：综合分析检索的国内外相关文献，并与委托项目查新点进行对比分析，得出以下结论：西京医院胃肠外科开展的保留肋弓和部分膈肌的改良胸腹联合贲门癌根治手术为国内首创，发表的论文也是国内首次发表。</w:t>
            </w:r>
          </w:p>
          <w:p>
            <w:pPr>
              <w:spacing w:line="360" w:lineRule="auto"/>
              <w:ind w:firstLine="480" w:firstLineChars="200"/>
              <w:rPr>
                <w:rFonts w:ascii="宋体" w:hAnsi="宋体" w:cs="宋体"/>
                <w:sz w:val="24"/>
                <w:szCs w:val="24"/>
              </w:rPr>
            </w:pPr>
            <w:r>
              <w:rPr>
                <w:rFonts w:hint="eastAsia" w:ascii="宋体" w:hAnsi="宋体" w:cs="宋体"/>
                <w:sz w:val="24"/>
                <w:szCs w:val="24"/>
              </w:rPr>
              <w:t>（2）2020年在陕西省科学技术信息研究所科技查新中心完成的查新报告（编号：ZX20200900031）：综合分析检索的国内外相关文献，并与委托项目查新点进行对比分析，得出以下结论：西京医院胃肠外科开展的生物材料补片精准加强的改良贲门癌根治手术为国内首创，发表的论文也是国内首次发表</w:t>
            </w:r>
          </w:p>
          <w:p>
            <w:pPr>
              <w:spacing w:line="360" w:lineRule="auto"/>
              <w:ind w:firstLine="480" w:firstLineChars="200"/>
              <w:rPr>
                <w:rFonts w:ascii="宋体" w:hAnsi="宋体" w:cs="宋体"/>
                <w:sz w:val="24"/>
                <w:szCs w:val="24"/>
              </w:rPr>
            </w:pPr>
            <w:r>
              <w:rPr>
                <w:rFonts w:hint="eastAsia" w:ascii="宋体" w:hAnsi="宋体" w:cs="宋体"/>
                <w:sz w:val="24"/>
                <w:szCs w:val="24"/>
              </w:rPr>
              <w:t>（3） 2022年在陕西省科学技术信息研究所科技查新中心完成的查新报告证明（编号：XCZ202244665）：对本研究发表的54篇英文论文及18篇中文论文（作者、提名、来源出版物）被《科学引文索引（SCI）》或《中国知网期刊全文数据库（CNKI）》收录、引用情况进行查询，结果显示：查证对象中的54篇英文论文均被SCI－E收录，共被引用1071次，他引994次，单篇最高引用频次为118次；查证对象中的18篇中文论文均被《中国知网期刊全文数据库（CNKI）》收录，共被引用120次，其中他引次118次，单篇最高引用21次。由此可见，本项目的研究内容所形成的操作技术或学术观点被国内外学者广泛引用。</w:t>
            </w:r>
          </w:p>
          <w:p>
            <w:pPr>
              <w:spacing w:line="360" w:lineRule="auto"/>
              <w:ind w:firstLine="482" w:firstLineChars="200"/>
              <w:rPr>
                <w:rFonts w:ascii="宋体" w:hAnsi="宋体" w:cs="宋体"/>
                <w:b/>
                <w:sz w:val="24"/>
                <w:szCs w:val="24"/>
                <w:u w:val="single"/>
              </w:rPr>
            </w:pPr>
            <w:r>
              <w:rPr>
                <w:rFonts w:hint="eastAsia" w:ascii="宋体" w:hAnsi="宋体" w:cs="宋体"/>
                <w:b/>
                <w:sz w:val="24"/>
                <w:szCs w:val="24"/>
                <w:u w:val="single"/>
              </w:rPr>
              <w:t>三、推广应用单位评价</w:t>
            </w:r>
          </w:p>
          <w:p>
            <w:pPr>
              <w:spacing w:line="360" w:lineRule="auto"/>
              <w:ind w:firstLine="480" w:firstLineChars="200"/>
              <w:rPr>
                <w:rFonts w:ascii="宋体" w:hAnsi="宋体" w:cs="宋体"/>
                <w:kern w:val="0"/>
                <w:sz w:val="24"/>
                <w:szCs w:val="24"/>
              </w:rPr>
            </w:pPr>
            <w:r>
              <w:rPr>
                <w:rFonts w:hint="eastAsia" w:ascii="宋体" w:hAnsi="宋体" w:cs="宋体"/>
                <w:sz w:val="24"/>
                <w:szCs w:val="24"/>
              </w:rPr>
              <w:t>本项目</w:t>
            </w:r>
            <w:r>
              <w:rPr>
                <w:rFonts w:hint="eastAsia" w:ascii="宋体" w:hAnsi="宋体" w:cs="宋体"/>
                <w:kern w:val="0"/>
                <w:sz w:val="24"/>
                <w:szCs w:val="24"/>
              </w:rPr>
              <w:t>研究成果在</w:t>
            </w:r>
            <w:r>
              <w:rPr>
                <w:rFonts w:hint="eastAsia" w:ascii="宋体" w:hAnsi="宋体" w:cs="宋体"/>
                <w:sz w:val="24"/>
                <w:szCs w:val="24"/>
              </w:rPr>
              <w:t>全国</w:t>
            </w:r>
            <w:r>
              <w:rPr>
                <w:rFonts w:hint="eastAsia" w:ascii="宋体" w:hAnsi="宋体" w:cs="宋体"/>
                <w:kern w:val="0"/>
                <w:sz w:val="24"/>
                <w:szCs w:val="24"/>
              </w:rPr>
              <w:t>20余家单位推广应用，累计服务七千余例胃癌患者，显著降低了术后并发症的发生率，提高了胃癌患者的生存时间和生活质量，取得显著的社会和经济效益。</w:t>
            </w:r>
          </w:p>
          <w:p>
            <w:pPr>
              <w:spacing w:line="360" w:lineRule="auto"/>
              <w:ind w:firstLine="482" w:firstLineChars="200"/>
              <w:rPr>
                <w:rFonts w:ascii="宋体" w:hAnsi="宋体" w:cs="宋体"/>
                <w:b/>
                <w:sz w:val="24"/>
                <w:szCs w:val="24"/>
                <w:u w:val="single"/>
              </w:rPr>
            </w:pPr>
            <w:r>
              <w:rPr>
                <w:rFonts w:hint="eastAsia" w:ascii="宋体" w:hAnsi="宋体" w:cs="宋体"/>
                <w:b/>
                <w:sz w:val="24"/>
                <w:szCs w:val="24"/>
                <w:u w:val="single"/>
              </w:rPr>
              <w:t>四、学术会议及获奖情况</w:t>
            </w:r>
          </w:p>
          <w:p>
            <w:pPr>
              <w:spacing w:line="360" w:lineRule="auto"/>
              <w:ind w:firstLine="480" w:firstLineChars="200"/>
              <w:rPr>
                <w:rFonts w:ascii="宋体" w:hAnsi="宋体" w:cs="宋体"/>
                <w:kern w:val="0"/>
                <w:sz w:val="24"/>
                <w:szCs w:val="24"/>
              </w:rPr>
            </w:pPr>
            <w:r>
              <w:rPr>
                <w:rFonts w:hint="eastAsia" w:ascii="宋体" w:hAnsi="宋体" w:cs="宋体"/>
                <w:kern w:val="0"/>
                <w:sz w:val="24"/>
                <w:szCs w:val="24"/>
              </w:rPr>
              <w:t>受邀在欧洲肿瘤医学协会会议等国际大会做特邀报告15次，在全国学术会议做专题报告近百次，获优秀论文或壁报奖30余次；获全国优秀博士学位论文1篇；主办学术会议及培训班19次。自主研发的两种改良式胃癌根治术在《中国医师报》专栏进行了报道，创始者被第六届医学家峰会评为中国“十大医学创新专家”。</w:t>
            </w:r>
          </w:p>
          <w:p>
            <w:pPr>
              <w:spacing w:line="360" w:lineRule="auto"/>
              <w:ind w:firstLine="482" w:firstLineChars="200"/>
              <w:rPr>
                <w:rFonts w:ascii="宋体" w:hAnsi="宋体" w:cs="宋体"/>
                <w:b/>
                <w:sz w:val="24"/>
                <w:szCs w:val="24"/>
                <w:u w:val="single"/>
              </w:rPr>
            </w:pPr>
            <w:r>
              <w:rPr>
                <w:rFonts w:hint="eastAsia" w:ascii="宋体" w:hAnsi="宋体" w:cs="宋体"/>
                <w:b/>
                <w:sz w:val="24"/>
                <w:szCs w:val="24"/>
                <w:u w:val="single"/>
              </w:rPr>
              <w:t>五、受邀撰写综述及述评</w:t>
            </w:r>
          </w:p>
          <w:p>
            <w:pPr>
              <w:widowControl/>
              <w:spacing w:line="360" w:lineRule="auto"/>
              <w:ind w:firstLine="480" w:firstLineChars="200"/>
              <w:jc w:val="left"/>
              <w:rPr>
                <w:rFonts w:ascii="宋体" w:hAnsi="宋体" w:eastAsia="宋体" w:cs="宋体"/>
                <w:kern w:val="0"/>
                <w:sz w:val="24"/>
                <w:szCs w:val="24"/>
              </w:rPr>
            </w:pPr>
            <w:r>
              <w:rPr>
                <w:rFonts w:hint="eastAsia" w:ascii="宋体" w:hAnsi="宋体" w:cs="宋体"/>
                <w:kern w:val="0"/>
                <w:sz w:val="24"/>
                <w:szCs w:val="24"/>
              </w:rPr>
              <w:t>受邀在《</w:t>
            </w:r>
            <w:r>
              <w:rPr>
                <w:rFonts w:hint="eastAsia" w:ascii="宋体" w:hAnsi="宋体" w:cs="宋体"/>
                <w:sz w:val="24"/>
                <w:szCs w:val="24"/>
              </w:rPr>
              <w:t>Expert Opin Ther Targets</w:t>
            </w:r>
            <w:r>
              <w:rPr>
                <w:rFonts w:hint="eastAsia" w:ascii="宋体" w:hAnsi="宋体" w:cs="宋体"/>
                <w:kern w:val="0"/>
                <w:sz w:val="24"/>
                <w:szCs w:val="24"/>
              </w:rPr>
              <w:t>》、《</w:t>
            </w:r>
            <w:r>
              <w:rPr>
                <w:rFonts w:hint="eastAsia" w:ascii="宋体" w:hAnsi="宋体" w:cs="宋体"/>
                <w:sz w:val="24"/>
                <w:szCs w:val="24"/>
              </w:rPr>
              <w:t>Expert Rev Gastroenterol Hepatol</w:t>
            </w:r>
            <w:r>
              <w:rPr>
                <w:rFonts w:hint="eastAsia" w:ascii="宋体" w:hAnsi="宋体" w:cs="宋体"/>
                <w:kern w:val="0"/>
                <w:sz w:val="24"/>
                <w:szCs w:val="24"/>
              </w:rPr>
              <w:t>》、《</w:t>
            </w:r>
            <w:r>
              <w:rPr>
                <w:rFonts w:hint="eastAsia" w:ascii="宋体" w:hAnsi="宋体" w:cs="宋体"/>
                <w:sz w:val="24"/>
                <w:szCs w:val="24"/>
              </w:rPr>
              <w:t>Dig Dis Sci</w:t>
            </w:r>
            <w:r>
              <w:rPr>
                <w:rFonts w:hint="eastAsia" w:ascii="宋体" w:hAnsi="宋体" w:cs="宋体"/>
                <w:kern w:val="0"/>
                <w:sz w:val="24"/>
                <w:szCs w:val="24"/>
              </w:rPr>
              <w:t>》等SCI期刊撰写了12篇综述或述评。</w:t>
            </w:r>
          </w:p>
        </w:tc>
      </w:tr>
    </w:tbl>
    <w:p>
      <w:pPr>
        <w:rPr>
          <w:rFonts w:ascii="宋体" w:hAnsi="宋体" w:eastAsia="宋体" w:cs="宋体"/>
          <w:sz w:val="24"/>
          <w:szCs w:val="24"/>
        </w:rPr>
      </w:pPr>
    </w:p>
    <w:p>
      <w:pPr>
        <w:rPr>
          <w:rFonts w:ascii="宋体" w:hAnsi="宋体" w:eastAsia="宋体" w:cs="宋体"/>
          <w:sz w:val="24"/>
          <w:szCs w:val="24"/>
        </w:rPr>
      </w:pPr>
    </w:p>
    <w:p>
      <w:pPr>
        <w:rPr>
          <w:rFonts w:ascii="宋体" w:hAnsi="宋体" w:eastAsia="宋体" w:cs="宋体"/>
          <w:sz w:val="24"/>
          <w:szCs w:val="24"/>
        </w:rPr>
      </w:pPr>
    </w:p>
    <w:p>
      <w:pPr>
        <w:rPr>
          <w:rFonts w:ascii="宋体" w:hAnsi="宋体" w:eastAsia="宋体" w:cs="宋体"/>
          <w:sz w:val="24"/>
          <w:szCs w:val="24"/>
        </w:rPr>
      </w:pPr>
      <w:r>
        <w:rPr>
          <w:rFonts w:hint="eastAsia" w:ascii="宋体" w:hAnsi="宋体" w:eastAsia="宋体" w:cs="宋体"/>
          <w:sz w:val="24"/>
          <w:szCs w:val="24"/>
        </w:rPr>
        <w:t>八、应用情况</w:t>
      </w:r>
    </w:p>
    <w:tbl>
      <w:tblPr>
        <w:tblStyle w:val="7"/>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25" w:hRule="atLeast"/>
        </w:trPr>
        <w:tc>
          <w:tcPr>
            <w:tcW w:w="8897" w:type="dxa"/>
          </w:tcPr>
          <w:p>
            <w:pPr>
              <w:pStyle w:val="2"/>
              <w:spacing w:line="390" w:lineRule="exact"/>
              <w:ind w:firstLine="0" w:firstLineChars="0"/>
              <w:outlineLvl w:val="2"/>
              <w:rPr>
                <w:rFonts w:ascii="宋体" w:hAnsi="宋体" w:eastAsia="宋体" w:cs="宋体"/>
                <w:bCs/>
                <w:szCs w:val="24"/>
              </w:rPr>
            </w:pPr>
            <w:r>
              <w:rPr>
                <w:rFonts w:hint="eastAsia" w:ascii="宋体" w:hAnsi="宋体" w:eastAsia="宋体" w:cs="宋体"/>
                <w:b/>
                <w:szCs w:val="24"/>
              </w:rPr>
              <w:t>1．应用情况</w:t>
            </w:r>
          </w:p>
          <w:p>
            <w:pPr>
              <w:pStyle w:val="2"/>
              <w:spacing w:line="390" w:lineRule="exact"/>
              <w:ind w:firstLine="0" w:firstLineChars="0"/>
              <w:outlineLvl w:val="2"/>
              <w:rPr>
                <w:rFonts w:ascii="宋体" w:hAnsi="宋体" w:eastAsia="宋体" w:cs="宋体"/>
                <w:bCs/>
                <w:szCs w:val="24"/>
              </w:rPr>
            </w:pPr>
            <w:r>
              <w:rPr>
                <w:rFonts w:hint="eastAsia" w:ascii="宋体" w:hAnsi="宋体" w:eastAsia="宋体" w:cs="宋体"/>
                <w:bCs/>
                <w:szCs w:val="24"/>
              </w:rPr>
              <w:t>1.1 临床应用</w:t>
            </w:r>
          </w:p>
          <w:p>
            <w:pPr>
              <w:widowControl/>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本项目研究成果在全国20余家知名医院及医疗机构进行推广应用，为本省和全国的胃癌患者提供个体化综合全面的诊疗，累计服务七千余例胃癌患者，显著提高了胃癌的临床诊治水平。本项目组已举办19次学术会议及培训班对研究成果进行推广，累计培训包括西安红会医院、西安凤城医院、无锡明慈心血管病医院等数十家单位，培训学员600余人，服务于基层胃癌患者及家属，受到广泛好评。在国际方面，本项目组研究成果被多个国家的医院及科研机构专家引用并应用于临床及科研实践中。</w:t>
            </w:r>
          </w:p>
          <w:p>
            <w:pPr>
              <w:pStyle w:val="2"/>
              <w:spacing w:line="390" w:lineRule="exact"/>
              <w:ind w:firstLine="0" w:firstLineChars="0"/>
              <w:outlineLvl w:val="2"/>
              <w:rPr>
                <w:rFonts w:ascii="宋体" w:hAnsi="宋体" w:eastAsia="宋体" w:cs="宋体"/>
                <w:bCs/>
                <w:szCs w:val="24"/>
              </w:rPr>
            </w:pPr>
            <w:r>
              <w:rPr>
                <w:rFonts w:hint="eastAsia" w:ascii="宋体" w:hAnsi="宋体" w:eastAsia="宋体" w:cs="宋体"/>
                <w:bCs/>
                <w:szCs w:val="24"/>
              </w:rPr>
              <w:t>1.2 学术论文及交流</w:t>
            </w:r>
          </w:p>
          <w:p>
            <w:pPr>
              <w:widowControl/>
              <w:spacing w:line="360" w:lineRule="auto"/>
              <w:ind w:firstLine="480" w:firstLineChars="200"/>
              <w:jc w:val="left"/>
              <w:rPr>
                <w:rFonts w:ascii="宋体" w:hAnsi="宋体" w:eastAsia="宋体" w:cs="宋体"/>
                <w:kern w:val="0"/>
                <w:sz w:val="24"/>
                <w:szCs w:val="24"/>
              </w:rPr>
            </w:pPr>
            <w:r>
              <w:rPr>
                <w:rFonts w:hint="eastAsia" w:ascii="宋体" w:hAnsi="宋体" w:eastAsia="宋体" w:cs="宋体"/>
                <w:sz w:val="24"/>
                <w:szCs w:val="24"/>
              </w:rPr>
              <w:t>中国人民解放军空军军医大学第一附属医院胃肠外科跻身陕西省科技创新团队，本研究方向目前已经培养博士12名、硕士17名、专科进修医师67名；获得重要学术任职14个；发表文章72篇，其中SCI论文54篇（引用1071次），中文核心论文18篇（引用120次），主编专著6部；主办学术会议及培训班19次，受邀进行国际大会特邀专题报告15次，在全国学术会议做专题报告近百次，获优秀论文或壁报奖30余次；获全国优秀博士学位论文1篇；自主研发的两种改良式胃癌根治术在《中国医师报》专栏进行了报道；本项目主要完成人被评为“中国十大医学创新专家”、陕西省青年科技新星、原总后勤部优秀青年科技人才扶持对象，并入选陕西省“三秦人才”奖励计划和空军高层次科技人才</w:t>
            </w:r>
            <w:r>
              <w:rPr>
                <w:rFonts w:hint="eastAsia" w:ascii="宋体" w:hAnsi="宋体" w:eastAsia="宋体" w:cs="宋体"/>
                <w:kern w:val="0"/>
                <w:sz w:val="24"/>
                <w:szCs w:val="24"/>
              </w:rPr>
              <w:t>。</w:t>
            </w:r>
          </w:p>
          <w:p>
            <w:pPr>
              <w:jc w:val="left"/>
              <w:rPr>
                <w:rFonts w:ascii="宋体" w:hAnsi="宋体" w:eastAsia="宋体" w:cs="宋体"/>
                <w:kern w:val="0"/>
                <w:sz w:val="24"/>
                <w:szCs w:val="24"/>
              </w:rPr>
            </w:pPr>
            <w:r>
              <w:rPr>
                <w:rFonts w:hint="eastAsia" w:ascii="宋体" w:hAnsi="宋体" w:eastAsia="宋体" w:cs="宋体"/>
                <w:b/>
                <w:sz w:val="24"/>
                <w:szCs w:val="24"/>
              </w:rPr>
              <w:t>2．经济效益和社会效益</w:t>
            </w:r>
          </w:p>
          <w:p>
            <w:pPr>
              <w:jc w:val="left"/>
              <w:rPr>
                <w:rFonts w:ascii="宋体" w:hAnsi="宋体" w:eastAsia="宋体" w:cs="宋体"/>
                <w:kern w:val="0"/>
                <w:sz w:val="24"/>
                <w:szCs w:val="24"/>
              </w:rPr>
            </w:pPr>
            <w:r>
              <w:rPr>
                <w:rFonts w:hint="eastAsia" w:ascii="宋体" w:hAnsi="宋体" w:eastAsia="宋体" w:cs="宋体"/>
                <w:kern w:val="0"/>
                <w:sz w:val="24"/>
                <w:szCs w:val="24"/>
              </w:rPr>
              <w:t>2.1 经济效益</w:t>
            </w:r>
          </w:p>
          <w:p>
            <w:pPr>
              <w:widowControl/>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本项目具有良好的卫生经济学效益。项目研究成果已应用于空军军医大学第一附属医院、西安红会医院、西安凤城医院、无锡明慈心血管病医院等国内20余家医疗机构的医疗与教学实践中，一致认为本项目研究成果明显提高了相关单位对胃癌患者的规范化诊治能力，降低了胃癌患者术后并发症的发生率，促进了术后快速康复，减少了住院时间，节省了医疗成本，减轻了医疗负担；相关成果和技术的推广，为医院提供了新的经济收入，医院知名度提升会进一步带来更大的社会效益和经济效益。2020年至2021年各医院新增销售额共计817.69万元，新增利润共计161.37万元（利润计算依据为：利润=营业收入-营业成本-管理费用-财务费用）。</w:t>
            </w:r>
          </w:p>
          <w:p>
            <w:pPr>
              <w:jc w:val="left"/>
              <w:rPr>
                <w:rFonts w:ascii="宋体" w:hAnsi="宋体" w:eastAsia="宋体" w:cs="宋体"/>
                <w:b/>
                <w:sz w:val="24"/>
                <w:szCs w:val="24"/>
              </w:rPr>
            </w:pPr>
            <w:r>
              <w:rPr>
                <w:rFonts w:hint="eastAsia" w:ascii="宋体" w:hAnsi="宋体" w:eastAsia="宋体" w:cs="宋体"/>
                <w:kern w:val="0"/>
                <w:sz w:val="24"/>
                <w:szCs w:val="24"/>
              </w:rPr>
              <w:t>2.2 社会效益</w:t>
            </w:r>
          </w:p>
          <w:p>
            <w:pPr>
              <w:widowControl/>
              <w:spacing w:line="360" w:lineRule="auto"/>
              <w:ind w:firstLine="480" w:firstLineChars="200"/>
              <w:jc w:val="left"/>
              <w:rPr>
                <w:rFonts w:ascii="宋体" w:hAnsi="宋体" w:eastAsia="宋体" w:cs="宋体"/>
                <w:sz w:val="24"/>
                <w:szCs w:val="24"/>
              </w:rPr>
            </w:pPr>
            <w:r>
              <w:rPr>
                <w:rFonts w:hint="eastAsia" w:ascii="宋体" w:hAnsi="宋体" w:eastAsia="宋体" w:cs="宋体"/>
                <w:kern w:val="0"/>
                <w:sz w:val="24"/>
                <w:szCs w:val="24"/>
              </w:rPr>
              <w:t>本项目具有重要的社会效益。胃癌是全世界常见的恶性消化道肿瘤之一，严重危害国人健康。本项目以胃癌围手术期治疗为主要研究方向，进行了十余年的创新性探索与研究。率先发现能评估术前是否行新辅助化疗的联合预警指标，解决了“先手术还是先化疗”问题；率先发现能预测术后吻合口瘘等临床转归的多个预警指标，为个体化治疗及预后评估提供临床指导；自主研发的两种改良式胃癌根治术术后的胃癌患者较传统手术患者的肺部并发症发生率分别降低了11.38%和15.33%；针对不同分期胃癌开展精准化的手术策略，降低了术后并发症的发生，提高了患者生活质量；建立术后精准化综合治疗策略，促进了术后康复和提高了化疗效果；针对胃癌转移、耐药相关分子开展基础和临床研究，发现多个胃癌治疗的新靶点，为研发新的分子靶向药物奠定了基础。通过对胃癌患者围手术期治疗期间关键技术的创新和应用，本研究中心使胃癌患者的5年生存率从38.8%提高到57.9%。本项目的成果应用，可以显著提高胃癌患者的生存时间和生活质量，降低胃癌患者的术后并发症发生率，社会效益巨大</w:t>
            </w:r>
            <w:r>
              <w:rPr>
                <w:rFonts w:hint="eastAsia" w:ascii="宋体" w:hAnsi="宋体" w:eastAsia="宋体" w:cs="宋体"/>
                <w:sz w:val="24"/>
                <w:szCs w:val="24"/>
              </w:rPr>
              <w:t xml:space="preserve">。 </w:t>
            </w:r>
          </w:p>
          <w:p>
            <w:pPr>
              <w:widowControl/>
              <w:spacing w:line="360" w:lineRule="auto"/>
              <w:ind w:firstLine="482" w:firstLineChars="200"/>
              <w:jc w:val="left"/>
              <w:rPr>
                <w:rFonts w:ascii="宋体" w:hAnsi="宋体" w:eastAsia="宋体" w:cs="宋体"/>
                <w:b/>
                <w:sz w:val="24"/>
                <w:szCs w:val="24"/>
              </w:rPr>
            </w:pPr>
          </w:p>
        </w:tc>
      </w:tr>
    </w:tbl>
    <w:p>
      <w:pPr>
        <w:rPr>
          <w:rFonts w:ascii="宋体" w:hAnsi="宋体" w:eastAsia="宋体" w:cs="宋体"/>
          <w:sz w:val="24"/>
          <w:szCs w:val="24"/>
        </w:rPr>
      </w:pPr>
    </w:p>
    <w:p>
      <w:pPr>
        <w:rPr>
          <w:rFonts w:ascii="宋体" w:hAnsi="宋体" w:eastAsia="宋体" w:cs="宋体"/>
          <w:sz w:val="24"/>
          <w:szCs w:val="24"/>
        </w:rPr>
      </w:pPr>
    </w:p>
    <w:p>
      <w:pPr>
        <w:rPr>
          <w:rFonts w:ascii="宋体" w:hAnsi="宋体" w:eastAsia="宋体" w:cs="宋体"/>
          <w:sz w:val="24"/>
          <w:szCs w:val="24"/>
        </w:rPr>
      </w:pPr>
      <w:r>
        <w:rPr>
          <w:rFonts w:hint="eastAsia" w:ascii="宋体" w:hAnsi="宋体" w:eastAsia="宋体" w:cs="宋体"/>
          <w:sz w:val="24"/>
          <w:szCs w:val="24"/>
        </w:rPr>
        <w:t>九、主要知识产权和标准规范等目录</w:t>
      </w:r>
    </w:p>
    <w:tbl>
      <w:tblPr>
        <w:tblStyle w:val="7"/>
        <w:tblW w:w="908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457"/>
        <w:gridCol w:w="1065"/>
        <w:gridCol w:w="1350"/>
        <w:gridCol w:w="1005"/>
        <w:gridCol w:w="945"/>
        <w:gridCol w:w="1100"/>
        <w:gridCol w:w="1134"/>
        <w:gridCol w:w="912"/>
        <w:gridCol w:w="111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457"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宋体" w:hAnsi="宋体" w:eastAsia="宋体" w:cs="宋体"/>
                <w:szCs w:val="24"/>
              </w:rPr>
            </w:pPr>
            <w:r>
              <w:rPr>
                <w:rFonts w:hint="eastAsia" w:ascii="宋体" w:hAnsi="宋体" w:eastAsia="宋体" w:cs="宋体"/>
                <w:szCs w:val="24"/>
              </w:rPr>
              <w:t>序号</w:t>
            </w:r>
          </w:p>
        </w:tc>
        <w:tc>
          <w:tcPr>
            <w:tcW w:w="1065"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宋体" w:hAnsi="宋体" w:eastAsia="宋体" w:cs="宋体"/>
                <w:szCs w:val="24"/>
              </w:rPr>
            </w:pPr>
            <w:r>
              <w:rPr>
                <w:rFonts w:hint="eastAsia" w:ascii="宋体" w:hAnsi="宋体" w:eastAsia="宋体" w:cs="宋体"/>
                <w:szCs w:val="24"/>
              </w:rPr>
              <w:t>知识产权类    别</w:t>
            </w:r>
          </w:p>
        </w:tc>
        <w:tc>
          <w:tcPr>
            <w:tcW w:w="1350"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宋体" w:hAnsi="宋体" w:eastAsia="宋体" w:cs="宋体"/>
                <w:szCs w:val="24"/>
              </w:rPr>
            </w:pPr>
            <w:r>
              <w:rPr>
                <w:rFonts w:hint="eastAsia" w:ascii="宋体" w:hAnsi="宋体" w:eastAsia="宋体" w:cs="宋体"/>
                <w:szCs w:val="24"/>
              </w:rPr>
              <w:t>知识产权</w:t>
            </w:r>
          </w:p>
          <w:p>
            <w:pPr>
              <w:pStyle w:val="2"/>
              <w:spacing w:line="240" w:lineRule="auto"/>
              <w:ind w:firstLine="0" w:firstLineChars="0"/>
              <w:jc w:val="center"/>
              <w:rPr>
                <w:rFonts w:ascii="宋体" w:hAnsi="宋体" w:eastAsia="宋体" w:cs="宋体"/>
                <w:szCs w:val="24"/>
              </w:rPr>
            </w:pPr>
            <w:r>
              <w:rPr>
                <w:rFonts w:hint="eastAsia" w:ascii="宋体" w:hAnsi="宋体" w:eastAsia="宋体" w:cs="宋体"/>
                <w:szCs w:val="24"/>
              </w:rPr>
              <w:t>具体名称</w:t>
            </w:r>
          </w:p>
        </w:tc>
        <w:tc>
          <w:tcPr>
            <w:tcW w:w="1005"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宋体" w:hAnsi="宋体" w:eastAsia="宋体" w:cs="宋体"/>
                <w:szCs w:val="24"/>
              </w:rPr>
            </w:pPr>
            <w:r>
              <w:rPr>
                <w:rFonts w:hint="eastAsia" w:ascii="宋体" w:hAnsi="宋体" w:eastAsia="宋体" w:cs="宋体"/>
                <w:szCs w:val="24"/>
              </w:rPr>
              <w:t>国家</w:t>
            </w:r>
          </w:p>
          <w:p>
            <w:pPr>
              <w:pStyle w:val="2"/>
              <w:spacing w:line="240" w:lineRule="auto"/>
              <w:ind w:firstLine="0" w:firstLineChars="0"/>
              <w:jc w:val="center"/>
              <w:rPr>
                <w:rFonts w:ascii="宋体" w:hAnsi="宋体" w:eastAsia="宋体" w:cs="宋体"/>
                <w:szCs w:val="24"/>
              </w:rPr>
            </w:pPr>
            <w:r>
              <w:rPr>
                <w:rFonts w:hint="eastAsia" w:ascii="宋体" w:hAnsi="宋体" w:eastAsia="宋体" w:cs="宋体"/>
                <w:szCs w:val="24"/>
              </w:rPr>
              <w:t>（地区）</w:t>
            </w:r>
          </w:p>
        </w:tc>
        <w:tc>
          <w:tcPr>
            <w:tcW w:w="945"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宋体" w:hAnsi="宋体" w:eastAsia="宋体" w:cs="宋体"/>
                <w:szCs w:val="24"/>
              </w:rPr>
            </w:pPr>
            <w:r>
              <w:rPr>
                <w:rFonts w:hint="eastAsia" w:ascii="宋体" w:hAnsi="宋体" w:eastAsia="宋体" w:cs="宋体"/>
                <w:szCs w:val="24"/>
              </w:rPr>
              <w:t>授权号</w:t>
            </w:r>
          </w:p>
        </w:tc>
        <w:tc>
          <w:tcPr>
            <w:tcW w:w="1100"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宋体" w:hAnsi="宋体" w:eastAsia="宋体" w:cs="宋体"/>
                <w:szCs w:val="24"/>
              </w:rPr>
            </w:pPr>
            <w:r>
              <w:rPr>
                <w:rFonts w:hint="eastAsia" w:ascii="宋体" w:hAnsi="宋体" w:eastAsia="宋体" w:cs="宋体"/>
                <w:szCs w:val="24"/>
              </w:rPr>
              <w:t>授权日期</w:t>
            </w:r>
          </w:p>
        </w:tc>
        <w:tc>
          <w:tcPr>
            <w:tcW w:w="1134"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宋体" w:hAnsi="宋体" w:eastAsia="宋体" w:cs="宋体"/>
                <w:szCs w:val="24"/>
              </w:rPr>
            </w:pPr>
            <w:r>
              <w:rPr>
                <w:rFonts w:hint="eastAsia" w:ascii="宋体" w:hAnsi="宋体" w:eastAsia="宋体" w:cs="宋体"/>
                <w:szCs w:val="24"/>
              </w:rPr>
              <w:t>证书编号</w:t>
            </w:r>
          </w:p>
        </w:tc>
        <w:tc>
          <w:tcPr>
            <w:tcW w:w="912"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宋体" w:hAnsi="宋体" w:eastAsia="宋体" w:cs="宋体"/>
                <w:szCs w:val="24"/>
              </w:rPr>
            </w:pPr>
            <w:r>
              <w:rPr>
                <w:rFonts w:hint="eastAsia" w:ascii="宋体" w:hAnsi="宋体" w:eastAsia="宋体" w:cs="宋体"/>
                <w:szCs w:val="24"/>
              </w:rPr>
              <w:t>权利人</w:t>
            </w:r>
          </w:p>
        </w:tc>
        <w:tc>
          <w:tcPr>
            <w:tcW w:w="1112"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宋体" w:hAnsi="宋体" w:eastAsia="宋体" w:cs="宋体"/>
                <w:szCs w:val="24"/>
              </w:rPr>
            </w:pPr>
            <w:r>
              <w:rPr>
                <w:rFonts w:hint="eastAsia" w:ascii="宋体" w:hAnsi="宋体" w:eastAsia="宋体" w:cs="宋体"/>
                <w:szCs w:val="24"/>
              </w:rPr>
              <w:t>发明人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457"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宋体" w:hAnsi="宋体" w:eastAsia="宋体" w:cs="宋体"/>
                <w:szCs w:val="24"/>
              </w:rPr>
            </w:pPr>
            <w:r>
              <w:rPr>
                <w:rFonts w:hint="eastAsia" w:ascii="宋体" w:hAnsi="宋体" w:eastAsia="宋体" w:cs="宋体"/>
                <w:szCs w:val="24"/>
              </w:rPr>
              <w:t>1</w:t>
            </w:r>
          </w:p>
        </w:tc>
        <w:tc>
          <w:tcPr>
            <w:tcW w:w="1065"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其他</w:t>
            </w:r>
          </w:p>
        </w:tc>
        <w:tc>
          <w:tcPr>
            <w:tcW w:w="1350"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消化外科临床会诊整合思维</w:t>
            </w:r>
          </w:p>
        </w:tc>
        <w:tc>
          <w:tcPr>
            <w:tcW w:w="1005"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中国</w:t>
            </w:r>
          </w:p>
        </w:tc>
        <w:tc>
          <w:tcPr>
            <w:tcW w:w="945"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ISBN：978-7-5693-1345-1</w:t>
            </w:r>
          </w:p>
        </w:tc>
        <w:tc>
          <w:tcPr>
            <w:tcW w:w="1100"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2019年9月</w:t>
            </w:r>
          </w:p>
        </w:tc>
        <w:tc>
          <w:tcPr>
            <w:tcW w:w="1134"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西安交通大学出版社</w:t>
            </w:r>
          </w:p>
        </w:tc>
        <w:tc>
          <w:tcPr>
            <w:tcW w:w="912"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西安交通大学出版社</w:t>
            </w:r>
          </w:p>
        </w:tc>
        <w:tc>
          <w:tcPr>
            <w:tcW w:w="1112"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洪流 ，韩宇</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457"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宋体" w:hAnsi="宋体" w:eastAsia="宋体" w:cs="宋体"/>
                <w:szCs w:val="24"/>
              </w:rPr>
            </w:pPr>
            <w:r>
              <w:rPr>
                <w:rFonts w:hint="eastAsia" w:ascii="宋体" w:hAnsi="宋体" w:eastAsia="宋体" w:cs="宋体"/>
                <w:szCs w:val="24"/>
              </w:rPr>
              <w:t>2</w:t>
            </w:r>
          </w:p>
        </w:tc>
        <w:tc>
          <w:tcPr>
            <w:tcW w:w="1065"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其他</w:t>
            </w:r>
          </w:p>
        </w:tc>
        <w:tc>
          <w:tcPr>
            <w:tcW w:w="1350"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消化外科病例精析（第一册）</w:t>
            </w:r>
          </w:p>
        </w:tc>
        <w:tc>
          <w:tcPr>
            <w:tcW w:w="1005"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中国</w:t>
            </w:r>
          </w:p>
        </w:tc>
        <w:tc>
          <w:tcPr>
            <w:tcW w:w="945"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ISBN：978-7-5662-0034-1</w:t>
            </w:r>
          </w:p>
        </w:tc>
        <w:tc>
          <w:tcPr>
            <w:tcW w:w="1100"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2012年1月</w:t>
            </w:r>
          </w:p>
        </w:tc>
        <w:tc>
          <w:tcPr>
            <w:tcW w:w="1134"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第四军医大学出版社</w:t>
            </w:r>
          </w:p>
        </w:tc>
        <w:tc>
          <w:tcPr>
            <w:tcW w:w="912"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第四军医大学出版社</w:t>
            </w:r>
          </w:p>
        </w:tc>
        <w:tc>
          <w:tcPr>
            <w:tcW w:w="1112"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洪流</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457"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宋体" w:hAnsi="宋体" w:eastAsia="宋体" w:cs="宋体"/>
                <w:szCs w:val="24"/>
              </w:rPr>
            </w:pPr>
            <w:r>
              <w:rPr>
                <w:rFonts w:hint="eastAsia" w:ascii="宋体" w:hAnsi="宋体" w:eastAsia="宋体" w:cs="宋体"/>
                <w:szCs w:val="24"/>
              </w:rPr>
              <w:t>3</w:t>
            </w:r>
          </w:p>
        </w:tc>
        <w:tc>
          <w:tcPr>
            <w:tcW w:w="1065"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论文</w:t>
            </w:r>
          </w:p>
        </w:tc>
        <w:tc>
          <w:tcPr>
            <w:tcW w:w="1350"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The short-term outcome in esophagogastric junctional adenocarcinoma patients receiving total gastrectomy: laparoscopic versus open gastrectomy--a retrospective cohort study</w:t>
            </w:r>
          </w:p>
        </w:tc>
        <w:tc>
          <w:tcPr>
            <w:tcW w:w="1005"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中国</w:t>
            </w:r>
          </w:p>
        </w:tc>
        <w:tc>
          <w:tcPr>
            <w:tcW w:w="945"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11;(9);957-961</w:t>
            </w:r>
          </w:p>
        </w:tc>
        <w:tc>
          <w:tcPr>
            <w:tcW w:w="1100"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2013年11月</w:t>
            </w:r>
          </w:p>
        </w:tc>
        <w:tc>
          <w:tcPr>
            <w:tcW w:w="1134"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Int J Surg</w:t>
            </w:r>
          </w:p>
        </w:tc>
        <w:tc>
          <w:tcPr>
            <w:tcW w:w="912" w:type="dxa"/>
            <w:tcBorders>
              <w:top w:val="single" w:color="auto" w:sz="8" w:space="0"/>
              <w:left w:val="single" w:color="auto" w:sz="8" w:space="0"/>
              <w:bottom w:val="single" w:color="auto" w:sz="8" w:space="0"/>
              <w:right w:val="single" w:color="auto" w:sz="8" w:space="0"/>
            </w:tcBorders>
            <w:vAlign w:val="center"/>
          </w:tcPr>
          <w:p>
            <w:pPr>
              <w:pStyle w:val="2"/>
              <w:ind w:firstLine="0" w:firstLineChars="0"/>
              <w:jc w:val="left"/>
              <w:rPr>
                <w:rFonts w:ascii="宋体" w:hAnsi="宋体" w:eastAsia="宋体" w:cs="宋体"/>
                <w:szCs w:val="24"/>
              </w:rPr>
            </w:pPr>
            <w:r>
              <w:rPr>
                <w:rFonts w:hint="eastAsia" w:ascii="宋体" w:hAnsi="宋体" w:eastAsia="宋体" w:cs="宋体"/>
                <w:szCs w:val="24"/>
              </w:rPr>
              <w:t>中国人民解放军第四军医大学</w:t>
            </w:r>
          </w:p>
        </w:tc>
        <w:tc>
          <w:tcPr>
            <w:tcW w:w="1112"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洪流</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457"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宋体" w:hAnsi="宋体" w:eastAsia="宋体" w:cs="宋体"/>
                <w:szCs w:val="24"/>
              </w:rPr>
            </w:pPr>
            <w:r>
              <w:rPr>
                <w:rFonts w:hint="eastAsia" w:ascii="宋体" w:hAnsi="宋体" w:eastAsia="宋体" w:cs="宋体"/>
                <w:szCs w:val="24"/>
              </w:rPr>
              <w:t>4</w:t>
            </w:r>
          </w:p>
        </w:tc>
        <w:tc>
          <w:tcPr>
            <w:tcW w:w="1065"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论文</w:t>
            </w:r>
          </w:p>
        </w:tc>
        <w:tc>
          <w:tcPr>
            <w:tcW w:w="1350"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Prognostic value of epidermal growth factor receptor in patients with gastric cancer: A meta-analysis</w:t>
            </w:r>
          </w:p>
        </w:tc>
        <w:tc>
          <w:tcPr>
            <w:tcW w:w="1005"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中国</w:t>
            </w:r>
          </w:p>
        </w:tc>
        <w:tc>
          <w:tcPr>
            <w:tcW w:w="945"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529;(1); 69-72</w:t>
            </w:r>
          </w:p>
        </w:tc>
        <w:tc>
          <w:tcPr>
            <w:tcW w:w="1100"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2013年10月15日</w:t>
            </w:r>
          </w:p>
        </w:tc>
        <w:tc>
          <w:tcPr>
            <w:tcW w:w="1134"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Gene</w:t>
            </w:r>
          </w:p>
        </w:tc>
        <w:tc>
          <w:tcPr>
            <w:tcW w:w="912"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中国人民解放军第四军医大学</w:t>
            </w:r>
          </w:p>
        </w:tc>
        <w:tc>
          <w:tcPr>
            <w:tcW w:w="1112"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洪流</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457"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宋体" w:hAnsi="宋体" w:eastAsia="宋体" w:cs="宋体"/>
                <w:szCs w:val="24"/>
              </w:rPr>
            </w:pPr>
            <w:r>
              <w:rPr>
                <w:rFonts w:hint="eastAsia" w:ascii="宋体" w:hAnsi="宋体" w:eastAsia="宋体" w:cs="宋体"/>
                <w:szCs w:val="24"/>
              </w:rPr>
              <w:t>5</w:t>
            </w:r>
          </w:p>
        </w:tc>
        <w:tc>
          <w:tcPr>
            <w:tcW w:w="1065"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论文</w:t>
            </w:r>
          </w:p>
        </w:tc>
        <w:tc>
          <w:tcPr>
            <w:tcW w:w="1350"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Effect of early oral feeding on short-term outcome of patients receiving laparoscopic distal gastrectomy: A retrospective cohort study</w:t>
            </w:r>
          </w:p>
        </w:tc>
        <w:tc>
          <w:tcPr>
            <w:tcW w:w="1005"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中国</w:t>
            </w:r>
          </w:p>
        </w:tc>
        <w:tc>
          <w:tcPr>
            <w:tcW w:w="945"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12;(7); 637-</w:t>
            </w:r>
            <w:r>
              <w:rPr>
                <w:rFonts w:ascii="宋体" w:hAnsi="宋体" w:eastAsia="宋体" w:cs="宋体"/>
                <w:szCs w:val="24"/>
              </w:rPr>
              <w:t>63</w:t>
            </w:r>
            <w:r>
              <w:rPr>
                <w:rFonts w:hint="eastAsia" w:ascii="宋体" w:hAnsi="宋体" w:eastAsia="宋体" w:cs="宋体"/>
                <w:szCs w:val="24"/>
              </w:rPr>
              <w:t>9</w:t>
            </w:r>
          </w:p>
        </w:tc>
        <w:tc>
          <w:tcPr>
            <w:tcW w:w="1100"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2014年7月</w:t>
            </w:r>
          </w:p>
        </w:tc>
        <w:tc>
          <w:tcPr>
            <w:tcW w:w="1134"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Int J Surg</w:t>
            </w:r>
          </w:p>
        </w:tc>
        <w:tc>
          <w:tcPr>
            <w:tcW w:w="912"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中国人民解放军第四军医大学</w:t>
            </w:r>
          </w:p>
        </w:tc>
        <w:tc>
          <w:tcPr>
            <w:tcW w:w="1112"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cs="宋体"/>
                <w:color w:val="000000"/>
                <w:szCs w:val="24"/>
              </w:rPr>
              <w:t>洪流，樊代明</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457"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宋体" w:hAnsi="宋体" w:eastAsia="宋体" w:cs="宋体"/>
                <w:szCs w:val="24"/>
              </w:rPr>
            </w:pPr>
            <w:r>
              <w:rPr>
                <w:rFonts w:hint="eastAsia" w:ascii="宋体" w:hAnsi="宋体" w:eastAsia="宋体" w:cs="宋体"/>
                <w:szCs w:val="24"/>
              </w:rPr>
              <w:t>6</w:t>
            </w:r>
          </w:p>
        </w:tc>
        <w:tc>
          <w:tcPr>
            <w:tcW w:w="1065"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论文</w:t>
            </w:r>
          </w:p>
        </w:tc>
        <w:tc>
          <w:tcPr>
            <w:tcW w:w="1350"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Is It Reasonable to Treat Early Gastric Cancer with Mucosal Infiltration and Well Differentiation by Endoscopic Submucosal Resection?</w:t>
            </w:r>
          </w:p>
        </w:tc>
        <w:tc>
          <w:tcPr>
            <w:tcW w:w="1005"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中国</w:t>
            </w:r>
          </w:p>
        </w:tc>
        <w:tc>
          <w:tcPr>
            <w:tcW w:w="945"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19;(12); 2111-</w:t>
            </w:r>
            <w:r>
              <w:rPr>
                <w:rFonts w:ascii="宋体" w:hAnsi="宋体" w:eastAsia="宋体" w:cs="宋体"/>
                <w:szCs w:val="24"/>
              </w:rPr>
              <w:t>211</w:t>
            </w:r>
            <w:r>
              <w:rPr>
                <w:rFonts w:hint="eastAsia" w:ascii="宋体" w:hAnsi="宋体" w:eastAsia="宋体" w:cs="宋体"/>
                <w:szCs w:val="24"/>
              </w:rPr>
              <w:t>9</w:t>
            </w:r>
          </w:p>
        </w:tc>
        <w:tc>
          <w:tcPr>
            <w:tcW w:w="1100"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2015年12月</w:t>
            </w:r>
          </w:p>
        </w:tc>
        <w:tc>
          <w:tcPr>
            <w:tcW w:w="1134"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J Gastrointest Surg</w:t>
            </w:r>
          </w:p>
        </w:tc>
        <w:tc>
          <w:tcPr>
            <w:tcW w:w="912"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中国人民解放军第四军医大学</w:t>
            </w:r>
          </w:p>
        </w:tc>
        <w:tc>
          <w:tcPr>
            <w:tcW w:w="1112"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张洪伟</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457"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宋体" w:hAnsi="宋体" w:eastAsia="宋体" w:cs="宋体"/>
                <w:szCs w:val="24"/>
              </w:rPr>
            </w:pPr>
            <w:r>
              <w:rPr>
                <w:rFonts w:hint="eastAsia" w:ascii="宋体" w:hAnsi="宋体" w:eastAsia="宋体" w:cs="宋体"/>
                <w:szCs w:val="24"/>
              </w:rPr>
              <w:t>7</w:t>
            </w:r>
          </w:p>
        </w:tc>
        <w:tc>
          <w:tcPr>
            <w:tcW w:w="1065"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论文</w:t>
            </w:r>
          </w:p>
        </w:tc>
        <w:tc>
          <w:tcPr>
            <w:tcW w:w="1350"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Reciprocal regulations between miRNAs and HIF-1 alpha in human cancers</w:t>
            </w:r>
          </w:p>
        </w:tc>
        <w:tc>
          <w:tcPr>
            <w:tcW w:w="1005"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中国</w:t>
            </w:r>
          </w:p>
        </w:tc>
        <w:tc>
          <w:tcPr>
            <w:tcW w:w="945"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9(2): 407-</w:t>
            </w:r>
            <w:r>
              <w:rPr>
                <w:rFonts w:ascii="宋体" w:hAnsi="宋体" w:eastAsia="宋体" w:cs="宋体"/>
                <w:szCs w:val="24"/>
              </w:rPr>
              <w:t>4</w:t>
            </w:r>
            <w:r>
              <w:rPr>
                <w:rFonts w:hint="eastAsia" w:ascii="宋体" w:hAnsi="宋体" w:eastAsia="宋体" w:cs="宋体"/>
                <w:szCs w:val="24"/>
              </w:rPr>
              <w:t>14</w:t>
            </w:r>
          </w:p>
        </w:tc>
        <w:tc>
          <w:tcPr>
            <w:tcW w:w="1100"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2019年2月</w:t>
            </w:r>
          </w:p>
        </w:tc>
        <w:tc>
          <w:tcPr>
            <w:tcW w:w="1134"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Cell Mol Life Sci</w:t>
            </w:r>
          </w:p>
        </w:tc>
        <w:tc>
          <w:tcPr>
            <w:tcW w:w="912"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中国人民解放军第四军医大学</w:t>
            </w:r>
          </w:p>
        </w:tc>
        <w:tc>
          <w:tcPr>
            <w:tcW w:w="1112"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洪流</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457"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宋体" w:hAnsi="宋体" w:eastAsia="宋体" w:cs="宋体"/>
                <w:szCs w:val="24"/>
              </w:rPr>
            </w:pPr>
            <w:r>
              <w:rPr>
                <w:rFonts w:hint="eastAsia" w:ascii="宋体" w:hAnsi="宋体" w:eastAsia="宋体" w:cs="宋体"/>
                <w:szCs w:val="24"/>
              </w:rPr>
              <w:t>8</w:t>
            </w:r>
          </w:p>
        </w:tc>
        <w:tc>
          <w:tcPr>
            <w:tcW w:w="1065"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论文</w:t>
            </w:r>
          </w:p>
        </w:tc>
        <w:tc>
          <w:tcPr>
            <w:tcW w:w="1350"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Diagnostic and prognostic value of CEA, CA19-9, AFP and CA125 for early gastric cancer.</w:t>
            </w:r>
          </w:p>
        </w:tc>
        <w:tc>
          <w:tcPr>
            <w:tcW w:w="1005"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中国</w:t>
            </w:r>
          </w:p>
        </w:tc>
        <w:tc>
          <w:tcPr>
            <w:tcW w:w="945"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17;(1);737</w:t>
            </w:r>
          </w:p>
        </w:tc>
        <w:tc>
          <w:tcPr>
            <w:tcW w:w="1100"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2017年11月9日</w:t>
            </w:r>
          </w:p>
        </w:tc>
        <w:tc>
          <w:tcPr>
            <w:tcW w:w="1134"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BMC Cancer</w:t>
            </w:r>
          </w:p>
        </w:tc>
        <w:tc>
          <w:tcPr>
            <w:tcW w:w="912"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中国人民解放军第四军医大学</w:t>
            </w:r>
          </w:p>
        </w:tc>
        <w:tc>
          <w:tcPr>
            <w:tcW w:w="1112"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张洪伟</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457"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宋体" w:hAnsi="宋体" w:eastAsia="宋体" w:cs="宋体"/>
                <w:szCs w:val="24"/>
              </w:rPr>
            </w:pPr>
            <w:r>
              <w:rPr>
                <w:rFonts w:hint="eastAsia" w:ascii="宋体" w:hAnsi="宋体" w:eastAsia="宋体" w:cs="宋体"/>
                <w:szCs w:val="24"/>
              </w:rPr>
              <w:t>9</w:t>
            </w:r>
          </w:p>
        </w:tc>
        <w:tc>
          <w:tcPr>
            <w:tcW w:w="1065"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论文</w:t>
            </w:r>
          </w:p>
        </w:tc>
        <w:tc>
          <w:tcPr>
            <w:tcW w:w="1350"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Clinicopathological features and prognosis in elderly gastric cancer patients: a retrospective cohort study.</w:t>
            </w:r>
          </w:p>
        </w:tc>
        <w:tc>
          <w:tcPr>
            <w:tcW w:w="1005"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中国</w:t>
            </w:r>
          </w:p>
        </w:tc>
        <w:tc>
          <w:tcPr>
            <w:tcW w:w="945"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11; 1353-1362</w:t>
            </w:r>
          </w:p>
        </w:tc>
        <w:tc>
          <w:tcPr>
            <w:tcW w:w="1100"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2018年3月12日</w:t>
            </w:r>
          </w:p>
        </w:tc>
        <w:tc>
          <w:tcPr>
            <w:tcW w:w="1134"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Onco Targets Ther</w:t>
            </w:r>
          </w:p>
        </w:tc>
        <w:tc>
          <w:tcPr>
            <w:tcW w:w="912"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中国人民解放军第四军医大学</w:t>
            </w:r>
          </w:p>
        </w:tc>
        <w:tc>
          <w:tcPr>
            <w:tcW w:w="1112"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张洪伟</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457"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center"/>
              <w:rPr>
                <w:rFonts w:ascii="宋体" w:hAnsi="宋体" w:eastAsia="宋体" w:cs="宋体"/>
                <w:szCs w:val="24"/>
              </w:rPr>
            </w:pPr>
            <w:r>
              <w:rPr>
                <w:rFonts w:hint="eastAsia" w:ascii="宋体" w:hAnsi="宋体" w:eastAsia="宋体" w:cs="宋体"/>
                <w:szCs w:val="24"/>
              </w:rPr>
              <w:t>10</w:t>
            </w:r>
          </w:p>
        </w:tc>
        <w:tc>
          <w:tcPr>
            <w:tcW w:w="1065"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论文</w:t>
            </w:r>
          </w:p>
        </w:tc>
        <w:tc>
          <w:tcPr>
            <w:tcW w:w="1350"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改良式胸腹联合贲门癌根治术的临床疗效</w:t>
            </w:r>
          </w:p>
        </w:tc>
        <w:tc>
          <w:tcPr>
            <w:tcW w:w="1005"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中国</w:t>
            </w:r>
          </w:p>
        </w:tc>
        <w:tc>
          <w:tcPr>
            <w:tcW w:w="945"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24(04):588-590.</w:t>
            </w:r>
          </w:p>
        </w:tc>
        <w:tc>
          <w:tcPr>
            <w:tcW w:w="1100"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2016年1月4日</w:t>
            </w:r>
          </w:p>
        </w:tc>
        <w:tc>
          <w:tcPr>
            <w:tcW w:w="1134"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现代肿瘤医学</w:t>
            </w:r>
          </w:p>
        </w:tc>
        <w:tc>
          <w:tcPr>
            <w:tcW w:w="912"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中国人民解放军第四军医大学</w:t>
            </w:r>
          </w:p>
        </w:tc>
        <w:tc>
          <w:tcPr>
            <w:tcW w:w="1112" w:type="dxa"/>
            <w:tcBorders>
              <w:top w:val="single" w:color="auto" w:sz="8" w:space="0"/>
              <w:left w:val="single" w:color="auto" w:sz="8" w:space="0"/>
              <w:bottom w:val="single" w:color="auto" w:sz="8" w:space="0"/>
              <w:right w:val="single" w:color="auto" w:sz="8" w:space="0"/>
            </w:tcBorders>
            <w:vAlign w:val="center"/>
          </w:tcPr>
          <w:p>
            <w:pPr>
              <w:pStyle w:val="2"/>
              <w:spacing w:line="240" w:lineRule="auto"/>
              <w:ind w:firstLine="0" w:firstLineChars="0"/>
              <w:jc w:val="left"/>
              <w:rPr>
                <w:rFonts w:ascii="宋体" w:hAnsi="宋体" w:eastAsia="宋体" w:cs="宋体"/>
                <w:szCs w:val="24"/>
              </w:rPr>
            </w:pPr>
            <w:r>
              <w:rPr>
                <w:rFonts w:hint="eastAsia" w:ascii="宋体" w:hAnsi="宋体" w:eastAsia="宋体" w:cs="宋体"/>
                <w:szCs w:val="24"/>
              </w:rPr>
              <w:t>洪流</w:t>
            </w:r>
          </w:p>
        </w:tc>
      </w:tr>
    </w:tbl>
    <w:p>
      <w:pPr>
        <w:pStyle w:val="10"/>
        <w:ind w:left="420" w:firstLine="0" w:firstLineChars="0"/>
        <w:rPr>
          <w:rFonts w:ascii="宋体" w:hAnsi="宋体" w:eastAsia="宋体" w:cs="宋体"/>
          <w:bCs/>
          <w:spacing w:val="2"/>
          <w:sz w:val="24"/>
          <w:szCs w:val="24"/>
        </w:rPr>
      </w:pPr>
    </w:p>
    <w:p>
      <w:pPr>
        <w:rPr>
          <w:rFonts w:ascii="宋体" w:hAnsi="宋体" w:eastAsia="宋体" w:cs="宋体"/>
          <w:sz w:val="24"/>
          <w:szCs w:val="24"/>
        </w:rPr>
      </w:pPr>
    </w:p>
    <w:p>
      <w:pPr>
        <w:rPr>
          <w:rFonts w:ascii="宋体" w:hAnsi="宋体" w:eastAsia="宋体" w:cs="宋体"/>
          <w:sz w:val="24"/>
          <w:szCs w:val="24"/>
        </w:rPr>
      </w:pPr>
      <w:r>
        <w:rPr>
          <w:rFonts w:hint="eastAsia" w:ascii="宋体" w:hAnsi="宋体" w:eastAsia="宋体" w:cs="宋体"/>
          <w:sz w:val="24"/>
          <w:szCs w:val="24"/>
        </w:rPr>
        <w:t>十、完成人合作关系说明</w:t>
      </w:r>
    </w:p>
    <w:p>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本项目的第1完成人洪流是科室副主任，主任医师，教授，作为主抓科研工作的科研团队带头人，和第2完成人张洪伟、第5完成人杨建军、第6完成人孙力共同开展大量临床研究工作；同时，第1完成人洪流是第3完成人丰帆、第4完成人徐光辉、第7完成人韩宇的上级医师，指导和协调完成临床和科研工作；第1完成人洪流是第8完成人李一丁的研究生导师，第2完成人张洪伟是第3完成人丰帆、第4完成人徐光辉的研究生导师，第1、2、5、6、7完成人的科研课题和研究成果以及第3、4、8完成人的研究生期间工作构成了本项目内容的一部分。完成人之间的合作方式主要包括临床和基础研究的共同开展、专著的共同编撰、课题的共同立项以及论文的合著等。</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E0002EFF" w:usb1="C0007843" w:usb2="00000009" w:usb3="00000000" w:csb0="400001FF" w:csb1="FFFF0000"/>
  </w:font>
  <w:font w:name="MingLiU">
    <w:altName w:val="PMingLiU-ExtB"/>
    <w:panose1 w:val="020203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E4MjlhNWY4YTJlZGRjMjk2MDJmNThkMWNlZWViOGIifQ=="/>
  </w:docVars>
  <w:rsids>
    <w:rsidRoot w:val="0063432F"/>
    <w:rsid w:val="00023847"/>
    <w:rsid w:val="000B5790"/>
    <w:rsid w:val="000C5170"/>
    <w:rsid w:val="000E2C88"/>
    <w:rsid w:val="000F1138"/>
    <w:rsid w:val="00111EB9"/>
    <w:rsid w:val="00133C65"/>
    <w:rsid w:val="0014707E"/>
    <w:rsid w:val="00161FB3"/>
    <w:rsid w:val="00170FBA"/>
    <w:rsid w:val="00173179"/>
    <w:rsid w:val="00196244"/>
    <w:rsid w:val="001D1C9B"/>
    <w:rsid w:val="001D33CF"/>
    <w:rsid w:val="002054EB"/>
    <w:rsid w:val="00217DA8"/>
    <w:rsid w:val="00236E8A"/>
    <w:rsid w:val="00237D82"/>
    <w:rsid w:val="00243055"/>
    <w:rsid w:val="00253E90"/>
    <w:rsid w:val="002550C3"/>
    <w:rsid w:val="002743A1"/>
    <w:rsid w:val="002757D1"/>
    <w:rsid w:val="002A2AF2"/>
    <w:rsid w:val="002B3EBF"/>
    <w:rsid w:val="002C193C"/>
    <w:rsid w:val="0030027C"/>
    <w:rsid w:val="00302782"/>
    <w:rsid w:val="00325D4D"/>
    <w:rsid w:val="003265DD"/>
    <w:rsid w:val="00331399"/>
    <w:rsid w:val="0034189C"/>
    <w:rsid w:val="003451CF"/>
    <w:rsid w:val="0035281F"/>
    <w:rsid w:val="003D4BAB"/>
    <w:rsid w:val="003D4CDA"/>
    <w:rsid w:val="003E2A00"/>
    <w:rsid w:val="003E5DC8"/>
    <w:rsid w:val="00420A5F"/>
    <w:rsid w:val="00446985"/>
    <w:rsid w:val="004712A9"/>
    <w:rsid w:val="004B03CB"/>
    <w:rsid w:val="004F0C33"/>
    <w:rsid w:val="004F3894"/>
    <w:rsid w:val="004F5DF5"/>
    <w:rsid w:val="00502826"/>
    <w:rsid w:val="00510809"/>
    <w:rsid w:val="005250A4"/>
    <w:rsid w:val="005640BA"/>
    <w:rsid w:val="005700E7"/>
    <w:rsid w:val="00570F4B"/>
    <w:rsid w:val="005812CE"/>
    <w:rsid w:val="005A6B7F"/>
    <w:rsid w:val="00600C04"/>
    <w:rsid w:val="0060487E"/>
    <w:rsid w:val="00612C67"/>
    <w:rsid w:val="00617A89"/>
    <w:rsid w:val="0063432F"/>
    <w:rsid w:val="00677154"/>
    <w:rsid w:val="00695B96"/>
    <w:rsid w:val="006A20AF"/>
    <w:rsid w:val="006B2902"/>
    <w:rsid w:val="00742B6A"/>
    <w:rsid w:val="00751945"/>
    <w:rsid w:val="00752D4E"/>
    <w:rsid w:val="00765EFA"/>
    <w:rsid w:val="007866E0"/>
    <w:rsid w:val="007B07CF"/>
    <w:rsid w:val="007B3402"/>
    <w:rsid w:val="007D17A8"/>
    <w:rsid w:val="007D24F3"/>
    <w:rsid w:val="007F2AC6"/>
    <w:rsid w:val="00815C0C"/>
    <w:rsid w:val="00872410"/>
    <w:rsid w:val="008D4504"/>
    <w:rsid w:val="0091063A"/>
    <w:rsid w:val="00912D09"/>
    <w:rsid w:val="00924E39"/>
    <w:rsid w:val="009441D5"/>
    <w:rsid w:val="00964148"/>
    <w:rsid w:val="00970B6E"/>
    <w:rsid w:val="009B3C00"/>
    <w:rsid w:val="00A065FB"/>
    <w:rsid w:val="00A335DE"/>
    <w:rsid w:val="00A378AA"/>
    <w:rsid w:val="00A41E3A"/>
    <w:rsid w:val="00A45979"/>
    <w:rsid w:val="00A66F5E"/>
    <w:rsid w:val="00A75550"/>
    <w:rsid w:val="00A76CC4"/>
    <w:rsid w:val="00AC2228"/>
    <w:rsid w:val="00AC6416"/>
    <w:rsid w:val="00AF0CE5"/>
    <w:rsid w:val="00B265E3"/>
    <w:rsid w:val="00B27391"/>
    <w:rsid w:val="00B32D67"/>
    <w:rsid w:val="00B40AD3"/>
    <w:rsid w:val="00B4722A"/>
    <w:rsid w:val="00B644A6"/>
    <w:rsid w:val="00B72EC6"/>
    <w:rsid w:val="00BD1977"/>
    <w:rsid w:val="00C2615A"/>
    <w:rsid w:val="00C3777D"/>
    <w:rsid w:val="00C407FF"/>
    <w:rsid w:val="00C6503A"/>
    <w:rsid w:val="00C74BE8"/>
    <w:rsid w:val="00CE162F"/>
    <w:rsid w:val="00D14CE8"/>
    <w:rsid w:val="00D43E3F"/>
    <w:rsid w:val="00D660E1"/>
    <w:rsid w:val="00D761F0"/>
    <w:rsid w:val="00DA52F5"/>
    <w:rsid w:val="00DB7B74"/>
    <w:rsid w:val="00E33C0D"/>
    <w:rsid w:val="00E347CC"/>
    <w:rsid w:val="00E50637"/>
    <w:rsid w:val="00E50D6C"/>
    <w:rsid w:val="00E8049D"/>
    <w:rsid w:val="00E8564E"/>
    <w:rsid w:val="00E95C75"/>
    <w:rsid w:val="00EC2DA6"/>
    <w:rsid w:val="00ED3E5A"/>
    <w:rsid w:val="00EE3553"/>
    <w:rsid w:val="00F12B98"/>
    <w:rsid w:val="00F25065"/>
    <w:rsid w:val="00F4727F"/>
    <w:rsid w:val="00F53C88"/>
    <w:rsid w:val="00F53F5F"/>
    <w:rsid w:val="00F63312"/>
    <w:rsid w:val="00F7008E"/>
    <w:rsid w:val="00F817BE"/>
    <w:rsid w:val="00F9013C"/>
    <w:rsid w:val="00FB3163"/>
    <w:rsid w:val="00FC0F1E"/>
    <w:rsid w:val="0A783358"/>
    <w:rsid w:val="1AEA463F"/>
    <w:rsid w:val="281B72DE"/>
    <w:rsid w:val="438364A1"/>
    <w:rsid w:val="4489666A"/>
    <w:rsid w:val="44E47ABD"/>
    <w:rsid w:val="62055D5C"/>
    <w:rsid w:val="7AA03D9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1"/>
    <w:qFormat/>
    <w:uiPriority w:val="0"/>
    <w:pPr>
      <w:spacing w:line="360" w:lineRule="auto"/>
      <w:ind w:firstLine="480" w:firstLineChars="200"/>
    </w:pPr>
    <w:rPr>
      <w:rFonts w:ascii="仿宋_GB2312" w:hAnsi="Times New Roman"/>
      <w:sz w:val="24"/>
    </w:rPr>
  </w:style>
  <w:style w:type="paragraph" w:styleId="3">
    <w:name w:val="footer"/>
    <w:basedOn w:val="1"/>
    <w:link w:val="14"/>
    <w:unhideWhenUsed/>
    <w:qFormat/>
    <w:uiPriority w:val="99"/>
    <w:pPr>
      <w:tabs>
        <w:tab w:val="center" w:pos="4153"/>
        <w:tab w:val="right" w:pos="8306"/>
      </w:tabs>
      <w:snapToGrid w:val="0"/>
      <w:jc w:val="left"/>
    </w:pPr>
    <w:rPr>
      <w:sz w:val="18"/>
      <w:szCs w:val="18"/>
    </w:rPr>
  </w:style>
  <w:style w:type="paragraph" w:styleId="4">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Body Text Indent 3"/>
    <w:basedOn w:val="1"/>
    <w:link w:val="15"/>
    <w:semiHidden/>
    <w:qFormat/>
    <w:uiPriority w:val="0"/>
    <w:pPr>
      <w:ind w:firstLine="420" w:firstLineChars="200"/>
    </w:pPr>
    <w:rPr>
      <w:rFonts w:ascii="Times New Roman" w:hAnsi="Times New Roman" w:eastAsia="宋体" w:cs="Times New Roman"/>
      <w:szCs w:val="20"/>
    </w:rPr>
  </w:style>
  <w:style w:type="paragraph" w:styleId="6">
    <w:name w:val="Normal (Web)"/>
    <w:basedOn w:val="1"/>
    <w:qFormat/>
    <w:uiPriority w:val="0"/>
    <w:pPr>
      <w:widowControl/>
      <w:spacing w:before="100" w:beforeAutospacing="1" w:after="100" w:afterAutospacing="1"/>
      <w:jc w:val="left"/>
    </w:pPr>
    <w:rPr>
      <w:rFonts w:ascii="宋体" w:hAnsi="宋体" w:eastAsia="宋体" w:cs="Times New Roman"/>
      <w:kern w:val="0"/>
      <w:sz w:val="24"/>
      <w:szCs w:val="24"/>
    </w:rPr>
  </w:style>
  <w:style w:type="table" w:styleId="8">
    <w:name w:val="Table Grid"/>
    <w:basedOn w:val="7"/>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styleId="10">
    <w:name w:val="List Paragraph"/>
    <w:basedOn w:val="1"/>
    <w:qFormat/>
    <w:uiPriority w:val="34"/>
    <w:pPr>
      <w:ind w:firstLine="420" w:firstLineChars="200"/>
    </w:pPr>
  </w:style>
  <w:style w:type="character" w:customStyle="1" w:styleId="11">
    <w:name w:val="纯文本 Char1"/>
    <w:link w:val="2"/>
    <w:qFormat/>
    <w:uiPriority w:val="0"/>
    <w:rPr>
      <w:rFonts w:ascii="仿宋_GB2312" w:hAnsi="Times New Roman"/>
      <w:sz w:val="24"/>
    </w:rPr>
  </w:style>
  <w:style w:type="character" w:customStyle="1" w:styleId="12">
    <w:name w:val="纯文本 Char"/>
    <w:basedOn w:val="9"/>
    <w:semiHidden/>
    <w:qFormat/>
    <w:uiPriority w:val="99"/>
    <w:rPr>
      <w:rFonts w:ascii="宋体" w:hAnsi="Courier New" w:eastAsia="宋体" w:cs="Courier New"/>
      <w:szCs w:val="21"/>
    </w:rPr>
  </w:style>
  <w:style w:type="character" w:customStyle="1" w:styleId="13">
    <w:name w:val="页眉 Char"/>
    <w:basedOn w:val="9"/>
    <w:link w:val="4"/>
    <w:qFormat/>
    <w:uiPriority w:val="99"/>
    <w:rPr>
      <w:sz w:val="18"/>
      <w:szCs w:val="18"/>
    </w:rPr>
  </w:style>
  <w:style w:type="character" w:customStyle="1" w:styleId="14">
    <w:name w:val="页脚 Char"/>
    <w:basedOn w:val="9"/>
    <w:link w:val="3"/>
    <w:qFormat/>
    <w:uiPriority w:val="99"/>
    <w:rPr>
      <w:sz w:val="18"/>
      <w:szCs w:val="18"/>
    </w:rPr>
  </w:style>
  <w:style w:type="character" w:customStyle="1" w:styleId="15">
    <w:name w:val="正文文本缩进 3 Char"/>
    <w:basedOn w:val="9"/>
    <w:link w:val="5"/>
    <w:semiHidden/>
    <w:qFormat/>
    <w:uiPriority w:val="0"/>
    <w:rPr>
      <w:rFonts w:ascii="Times New Roman" w:hAnsi="Times New Roman" w:eastAsia="宋体" w:cs="Times New Roman"/>
      <w:szCs w:val="20"/>
    </w:rPr>
  </w:style>
  <w:style w:type="paragraph" w:customStyle="1" w:styleId="16">
    <w:name w:val="正文文本 (2)"/>
    <w:basedOn w:val="1"/>
    <w:qFormat/>
    <w:uiPriority w:val="0"/>
    <w:pPr>
      <w:shd w:val="clear" w:color="auto" w:fill="FFFFFF"/>
      <w:spacing w:before="300" w:after="180" w:line="0" w:lineRule="atLeast"/>
      <w:jc w:val="center"/>
    </w:pPr>
    <w:rPr>
      <w:rFonts w:ascii="MingLiU" w:hAnsi="MingLiU" w:eastAsia="MingLiU" w:cs="MingLiU"/>
      <w:sz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D748F-FF8A-4F3E-BA4A-30FD0B9F3E35}">
  <ds:schemaRefs/>
</ds:datastoreItem>
</file>

<file path=docProps/app.xml><?xml version="1.0" encoding="utf-8"?>
<Properties xmlns="http://schemas.openxmlformats.org/officeDocument/2006/extended-properties" xmlns:vt="http://schemas.openxmlformats.org/officeDocument/2006/docPropsVTypes">
  <Template>Normal.dotm</Template>
  <Company>Company</Company>
  <Pages>12</Pages>
  <Words>6215</Words>
  <Characters>7605</Characters>
  <Lines>57</Lines>
  <Paragraphs>16</Paragraphs>
  <TotalTime>34</TotalTime>
  <ScaleCrop>false</ScaleCrop>
  <LinksUpToDate>false</LinksUpToDate>
  <CharactersWithSpaces>7761</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2022-06-20T00:36:00Z</dcterms:created>
  <dc:creator>NTKO</dc:creator>
  <cp:lastModifiedBy>37046</cp:lastModifiedBy>
  <cp:lastPrinted>2022-06-20T02:02:00Z</cp:lastPrinted>
  <dcterms:modified xsi:type="dcterms:W3CDTF">2022-06-30T15:06:25Z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D4845AA42F234CA586B62189108E120F</vt:lpwstr>
  </property>
</Properties>
</file>