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一、项目名称</w:t>
      </w:r>
    </w:p>
    <w:p>
      <w:pPr>
        <w:pStyle w:val="11"/>
        <w:ind w:left="420" w:firstLine="0" w:firstLineChars="0"/>
        <w:rPr>
          <w:rFonts w:ascii="仿宋_GB2312" w:hAnsi="Times New Roman" w:eastAsia="仿宋_GB2312" w:cs="Times New Roman"/>
          <w:bCs/>
          <w:sz w:val="28"/>
          <w:szCs w:val="28"/>
        </w:rPr>
      </w:pPr>
      <w:bookmarkStart w:id="0" w:name="_Hlk106637025"/>
      <w:r>
        <w:rPr>
          <w:rFonts w:hint="eastAsia" w:ascii="仿宋_GB2312" w:hAnsi="Times New Roman" w:eastAsia="仿宋_GB2312" w:cs="Times New Roman"/>
          <w:bCs/>
          <w:sz w:val="28"/>
          <w:szCs w:val="28"/>
        </w:rPr>
        <w:t>CD147抗体抑制恶性疟原虫入侵及肿瘤代谢调控机制的转化研究</w:t>
      </w:r>
      <w:bookmarkEnd w:id="0"/>
    </w:p>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二、主要完成人</w:t>
      </w:r>
    </w:p>
    <w:tbl>
      <w:tblPr>
        <w:tblStyle w:val="7"/>
        <w:tblW w:w="906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8"/>
        <w:gridCol w:w="850"/>
        <w:gridCol w:w="1134"/>
        <w:gridCol w:w="1275"/>
        <w:gridCol w:w="1418"/>
        <w:gridCol w:w="1470"/>
        <w:gridCol w:w="19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姓名</w:t>
            </w:r>
          </w:p>
        </w:tc>
        <w:tc>
          <w:tcPr>
            <w:tcW w:w="850"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排名</w:t>
            </w:r>
          </w:p>
        </w:tc>
        <w:tc>
          <w:tcPr>
            <w:tcW w:w="1134"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行政职务</w:t>
            </w:r>
          </w:p>
        </w:tc>
        <w:tc>
          <w:tcPr>
            <w:tcW w:w="1275"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技术职称</w:t>
            </w:r>
          </w:p>
        </w:tc>
        <w:tc>
          <w:tcPr>
            <w:tcW w:w="1418"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工作单位</w:t>
            </w:r>
          </w:p>
        </w:tc>
        <w:tc>
          <w:tcPr>
            <w:tcW w:w="1470"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完成单位</w:t>
            </w:r>
          </w:p>
        </w:tc>
        <w:tc>
          <w:tcPr>
            <w:tcW w:w="1932"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张征</w:t>
            </w:r>
          </w:p>
        </w:tc>
        <w:tc>
          <w:tcPr>
            <w:tcW w:w="850"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1</w:t>
            </w:r>
          </w:p>
        </w:tc>
        <w:tc>
          <w:tcPr>
            <w:tcW w:w="1134"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无</w:t>
            </w:r>
          </w:p>
        </w:tc>
        <w:tc>
          <w:tcPr>
            <w:tcW w:w="1275"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副教授</w:t>
            </w:r>
          </w:p>
        </w:tc>
        <w:tc>
          <w:tcPr>
            <w:tcW w:w="141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470"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932"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对本项目</w:t>
            </w:r>
            <w:r>
              <w:rPr>
                <w:rFonts w:ascii="仿宋_GB2312" w:hAnsi="Times New Roman" w:eastAsia="仿宋_GB2312" w:cs="Times New Roman"/>
                <w:sz w:val="28"/>
                <w:szCs w:val="28"/>
              </w:rPr>
              <w:t>1</w:t>
            </w:r>
            <w:r>
              <w:rPr>
                <w:rFonts w:hint="eastAsia" w:ascii="仿宋_GB2312" w:hAnsi="Times New Roman" w:eastAsia="仿宋_GB2312" w:cs="Times New Roman"/>
                <w:sz w:val="28"/>
                <w:szCs w:val="28"/>
              </w:rPr>
              <w:t>出创新性贡献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朱平</w:t>
            </w:r>
          </w:p>
        </w:tc>
        <w:tc>
          <w:tcPr>
            <w:tcW w:w="850"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2</w:t>
            </w:r>
          </w:p>
        </w:tc>
        <w:tc>
          <w:tcPr>
            <w:tcW w:w="1134"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无</w:t>
            </w:r>
          </w:p>
        </w:tc>
        <w:tc>
          <w:tcPr>
            <w:tcW w:w="1275"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教授</w:t>
            </w:r>
          </w:p>
        </w:tc>
        <w:tc>
          <w:tcPr>
            <w:tcW w:w="141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470"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932"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对本项目1和</w:t>
            </w:r>
            <w:r>
              <w:rPr>
                <w:rFonts w:ascii="仿宋_GB2312" w:hAnsi="Times New Roman" w:eastAsia="仿宋_GB2312" w:cs="Times New Roman"/>
                <w:sz w:val="28"/>
                <w:szCs w:val="28"/>
              </w:rPr>
              <w:t>2</w:t>
            </w:r>
            <w:r>
              <w:rPr>
                <w:rFonts w:hint="eastAsia" w:ascii="仿宋_GB2312" w:hAnsi="Times New Roman" w:eastAsia="仿宋_GB2312" w:cs="Times New Roman"/>
                <w:sz w:val="28"/>
                <w:szCs w:val="28"/>
              </w:rPr>
              <w:t>做出创新性贡献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黄婉</w:t>
            </w:r>
          </w:p>
        </w:tc>
        <w:tc>
          <w:tcPr>
            <w:tcW w:w="850"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3</w:t>
            </w:r>
          </w:p>
        </w:tc>
        <w:tc>
          <w:tcPr>
            <w:tcW w:w="1134"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无</w:t>
            </w:r>
          </w:p>
        </w:tc>
        <w:tc>
          <w:tcPr>
            <w:tcW w:w="1275"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副教授</w:t>
            </w:r>
          </w:p>
        </w:tc>
        <w:tc>
          <w:tcPr>
            <w:tcW w:w="141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470"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932"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对本项目1和</w:t>
            </w:r>
            <w:r>
              <w:rPr>
                <w:rFonts w:ascii="仿宋_GB2312" w:hAnsi="Times New Roman" w:eastAsia="仿宋_GB2312" w:cs="Times New Roman"/>
                <w:sz w:val="28"/>
                <w:szCs w:val="28"/>
              </w:rPr>
              <w:t>2</w:t>
            </w:r>
            <w:r>
              <w:rPr>
                <w:rFonts w:hint="eastAsia" w:ascii="仿宋_GB2312" w:hAnsi="Times New Roman" w:eastAsia="仿宋_GB2312" w:cs="Times New Roman"/>
                <w:sz w:val="28"/>
                <w:szCs w:val="28"/>
              </w:rPr>
              <w:t>做出创新性贡献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郭婷</w:t>
            </w:r>
          </w:p>
        </w:tc>
        <w:tc>
          <w:tcPr>
            <w:tcW w:w="850"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4</w:t>
            </w:r>
          </w:p>
        </w:tc>
        <w:tc>
          <w:tcPr>
            <w:tcW w:w="1134"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无</w:t>
            </w:r>
          </w:p>
        </w:tc>
        <w:tc>
          <w:tcPr>
            <w:tcW w:w="1275"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实验师</w:t>
            </w:r>
          </w:p>
        </w:tc>
        <w:tc>
          <w:tcPr>
            <w:tcW w:w="141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470"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932"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对本项目</w:t>
            </w:r>
            <w:r>
              <w:rPr>
                <w:rFonts w:ascii="仿宋_GB2312" w:hAnsi="Times New Roman" w:eastAsia="仿宋_GB2312" w:cs="Times New Roman"/>
                <w:sz w:val="28"/>
                <w:szCs w:val="28"/>
              </w:rPr>
              <w:t>1</w:t>
            </w:r>
            <w:r>
              <w:rPr>
                <w:rFonts w:hint="eastAsia" w:ascii="仿宋_GB2312" w:hAnsi="Times New Roman" w:eastAsia="仿宋_GB2312" w:cs="Times New Roman"/>
                <w:sz w:val="28"/>
                <w:szCs w:val="28"/>
              </w:rPr>
              <w:t>做出创新性贡献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张梦瑶</w:t>
            </w:r>
          </w:p>
        </w:tc>
        <w:tc>
          <w:tcPr>
            <w:tcW w:w="850" w:type="dxa"/>
          </w:tcPr>
          <w:p>
            <w:pPr>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5</w:t>
            </w:r>
          </w:p>
        </w:tc>
        <w:tc>
          <w:tcPr>
            <w:tcW w:w="1134"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无</w:t>
            </w:r>
          </w:p>
        </w:tc>
        <w:tc>
          <w:tcPr>
            <w:tcW w:w="1275"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研究员</w:t>
            </w:r>
          </w:p>
        </w:tc>
        <w:tc>
          <w:tcPr>
            <w:tcW w:w="141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470"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932"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对本项目1做出创新性贡献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王珂</w:t>
            </w:r>
          </w:p>
        </w:tc>
        <w:tc>
          <w:tcPr>
            <w:tcW w:w="850" w:type="dxa"/>
          </w:tcPr>
          <w:p>
            <w:pPr>
              <w:jc w:val="center"/>
              <w:rPr>
                <w:rFonts w:ascii="仿宋_GB2312" w:hAnsi="Times New Roman" w:eastAsia="仿宋_GB2312" w:cs="Times New Roman"/>
                <w:sz w:val="28"/>
                <w:szCs w:val="28"/>
              </w:rPr>
            </w:pPr>
            <w:r>
              <w:rPr>
                <w:rFonts w:ascii="仿宋_GB2312" w:hAnsi="Times New Roman" w:eastAsia="仿宋_GB2312" w:cs="Times New Roman"/>
                <w:sz w:val="28"/>
                <w:szCs w:val="28"/>
              </w:rPr>
              <w:t>6</w:t>
            </w:r>
          </w:p>
        </w:tc>
        <w:tc>
          <w:tcPr>
            <w:tcW w:w="1134"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无</w:t>
            </w:r>
          </w:p>
        </w:tc>
        <w:tc>
          <w:tcPr>
            <w:tcW w:w="1275"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研究员</w:t>
            </w:r>
          </w:p>
        </w:tc>
        <w:tc>
          <w:tcPr>
            <w:tcW w:w="1418"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470"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中国人民解放军空军军医大学</w:t>
            </w:r>
          </w:p>
        </w:tc>
        <w:tc>
          <w:tcPr>
            <w:tcW w:w="1932" w:type="dxa"/>
          </w:tcPr>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对本项目1做出创新性贡献</w:t>
            </w:r>
          </w:p>
        </w:tc>
      </w:tr>
    </w:tbl>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三、主要完成单位</w:t>
      </w:r>
    </w:p>
    <w:tbl>
      <w:tblPr>
        <w:tblStyle w:val="7"/>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63"/>
        <w:gridCol w:w="1134"/>
        <w:gridCol w:w="56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63" w:type="dxa"/>
          </w:tcPr>
          <w:p>
            <w:pPr>
              <w:jc w:val="center"/>
              <w:rPr>
                <w:rFonts w:ascii="仿宋_GB2312" w:eastAsia="仿宋_GB2312"/>
                <w:sz w:val="28"/>
                <w:szCs w:val="28"/>
              </w:rPr>
            </w:pPr>
            <w:r>
              <w:rPr>
                <w:rFonts w:hint="eastAsia" w:ascii="仿宋_GB2312" w:eastAsia="仿宋_GB2312"/>
                <w:sz w:val="28"/>
                <w:szCs w:val="28"/>
              </w:rPr>
              <w:t>完成单位</w:t>
            </w:r>
          </w:p>
        </w:tc>
        <w:tc>
          <w:tcPr>
            <w:tcW w:w="1134" w:type="dxa"/>
          </w:tcPr>
          <w:p>
            <w:pPr>
              <w:jc w:val="center"/>
              <w:rPr>
                <w:rFonts w:ascii="仿宋_GB2312" w:eastAsia="仿宋_GB2312"/>
                <w:sz w:val="28"/>
                <w:szCs w:val="28"/>
              </w:rPr>
            </w:pPr>
            <w:r>
              <w:rPr>
                <w:rFonts w:hint="eastAsia" w:ascii="仿宋_GB2312" w:eastAsia="仿宋_GB2312"/>
                <w:sz w:val="28"/>
                <w:szCs w:val="28"/>
              </w:rPr>
              <w:t>排名</w:t>
            </w:r>
          </w:p>
        </w:tc>
        <w:tc>
          <w:tcPr>
            <w:tcW w:w="5642" w:type="dxa"/>
          </w:tcPr>
          <w:p>
            <w:pPr>
              <w:jc w:val="center"/>
              <w:rPr>
                <w:rFonts w:ascii="仿宋_GB2312" w:eastAsia="仿宋_GB2312"/>
                <w:sz w:val="28"/>
                <w:szCs w:val="28"/>
              </w:rPr>
            </w:pPr>
            <w:bookmarkStart w:id="1" w:name="OLE_LINK1"/>
            <w:r>
              <w:rPr>
                <w:rFonts w:hint="eastAsia" w:ascii="仿宋_GB2312" w:eastAsia="仿宋_GB2312"/>
                <w:sz w:val="28"/>
                <w:szCs w:val="28"/>
              </w:rPr>
              <w:t>创新推广贡献</w:t>
            </w:r>
            <w:bookmarkEnd w:id="1"/>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63" w:type="dxa"/>
          </w:tcPr>
          <w:p>
            <w:pPr>
              <w:rPr>
                <w:rFonts w:ascii="仿宋_GB2312" w:eastAsia="仿宋_GB2312"/>
                <w:sz w:val="28"/>
                <w:szCs w:val="28"/>
              </w:rPr>
            </w:pPr>
            <w:r>
              <w:rPr>
                <w:rFonts w:hint="eastAsia" w:ascii="仿宋_GB2312" w:eastAsia="仿宋_GB2312"/>
                <w:sz w:val="28"/>
                <w:szCs w:val="28"/>
              </w:rPr>
              <w:t>中国人民解放军空军军医大学</w:t>
            </w:r>
          </w:p>
        </w:tc>
        <w:tc>
          <w:tcPr>
            <w:tcW w:w="1134" w:type="dxa"/>
          </w:tcPr>
          <w:p>
            <w:pPr>
              <w:jc w:val="center"/>
              <w:rPr>
                <w:rFonts w:ascii="仿宋_GB2312" w:eastAsia="仿宋_GB2312"/>
                <w:sz w:val="28"/>
                <w:szCs w:val="28"/>
              </w:rPr>
            </w:pPr>
            <w:r>
              <w:rPr>
                <w:rFonts w:hint="eastAsia" w:ascii="仿宋_GB2312" w:eastAsia="仿宋_GB2312"/>
                <w:sz w:val="28"/>
                <w:szCs w:val="28"/>
              </w:rPr>
              <w:t>1</w:t>
            </w:r>
          </w:p>
        </w:tc>
        <w:tc>
          <w:tcPr>
            <w:tcW w:w="5642" w:type="dxa"/>
          </w:tcPr>
          <w:p>
            <w:pPr>
              <w:rPr>
                <w:rFonts w:ascii="仿宋_GB2312" w:eastAsia="仿宋_GB2312"/>
                <w:sz w:val="28"/>
                <w:szCs w:val="28"/>
              </w:rPr>
            </w:pPr>
            <w:r>
              <w:rPr>
                <w:rFonts w:hint="eastAsia" w:ascii="仿宋_GB2312" w:eastAsia="仿宋_GB2312"/>
                <w:sz w:val="28"/>
                <w:szCs w:val="28"/>
              </w:rPr>
              <w:t>空军军医大学作为第一完成单位，负责总体技术方案制定、研究内容分析、技术路线确定等。相关知识产权均归属空军军医大学。</w:t>
            </w:r>
          </w:p>
        </w:tc>
      </w:tr>
    </w:tbl>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四、提名者</w:t>
      </w:r>
    </w:p>
    <w:p>
      <w:pPr>
        <w:ind w:firstLine="565" w:firstLineChars="202"/>
        <w:rPr>
          <w:rFonts w:ascii="仿宋_GB2312" w:hAnsi="Times New Roman" w:eastAsia="仿宋_GB2312" w:cs="Times New Roman"/>
          <w:sz w:val="28"/>
          <w:szCs w:val="28"/>
        </w:rPr>
      </w:pPr>
      <w:r>
        <w:rPr>
          <w:rFonts w:hint="eastAsia" w:ascii="仿宋_GB2312" w:hAnsi="Times New Roman" w:eastAsia="仿宋_GB2312" w:cs="Times New Roman"/>
          <w:sz w:val="28"/>
          <w:szCs w:val="28"/>
        </w:rPr>
        <w:t>陕西省卫生健康委员会</w:t>
      </w:r>
    </w:p>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五、提名意见</w:t>
      </w:r>
    </w:p>
    <w:p>
      <w:pPr>
        <w:pStyle w:val="11"/>
        <w:ind w:left="420" w:firstLine="284" w:firstLineChars="100"/>
        <w:rPr>
          <w:rFonts w:ascii="仿宋_GB2312" w:hAnsi="Times New Roman" w:eastAsia="仿宋_GB2312" w:cs="Times New Roman"/>
          <w:bCs/>
          <w:spacing w:val="2"/>
          <w:sz w:val="28"/>
          <w:szCs w:val="28"/>
        </w:rPr>
      </w:pPr>
      <w:r>
        <w:rPr>
          <w:rFonts w:hint="eastAsia" w:ascii="仿宋_GB2312" w:hAnsi="Times New Roman" w:eastAsia="仿宋_GB2312" w:cs="Times New Roman"/>
          <w:bCs/>
          <w:spacing w:val="2"/>
          <w:sz w:val="28"/>
          <w:szCs w:val="28"/>
          <w:lang w:val="en-US" w:eastAsia="zh-CN"/>
        </w:rPr>
        <w:t>拟</w:t>
      </w:r>
      <w:r>
        <w:rPr>
          <w:rFonts w:hint="eastAsia" w:ascii="仿宋_GB2312" w:hAnsi="Times New Roman" w:eastAsia="仿宋_GB2312" w:cs="Times New Roman"/>
          <w:bCs/>
          <w:spacing w:val="2"/>
          <w:sz w:val="28"/>
          <w:szCs w:val="28"/>
        </w:rPr>
        <w:t>提名该项目为陕西省技术发明奖</w:t>
      </w:r>
      <w:bookmarkStart w:id="2" w:name="_GoBack"/>
      <w:bookmarkEnd w:id="2"/>
      <w:r>
        <w:rPr>
          <w:rFonts w:hint="eastAsia" w:ascii="仿宋_GB2312" w:hAnsi="Times New Roman" w:eastAsia="仿宋_GB2312" w:cs="Times New Roman"/>
          <w:bCs/>
          <w:spacing w:val="2"/>
          <w:sz w:val="28"/>
          <w:szCs w:val="28"/>
        </w:rPr>
        <w:t>。</w:t>
      </w:r>
    </w:p>
    <w:p>
      <w:pPr>
        <w:widowControl/>
        <w:jc w:val="left"/>
        <w:rPr>
          <w:rFonts w:ascii="仿宋_GB2312" w:hAnsi="Times New Roman" w:eastAsia="仿宋_GB2312" w:cs="Times New Roman"/>
          <w:sz w:val="28"/>
          <w:szCs w:val="28"/>
        </w:rPr>
      </w:pPr>
      <w:r>
        <w:rPr>
          <w:rFonts w:ascii="仿宋_GB2312" w:hAnsi="Times New Roman" w:eastAsia="仿宋_GB2312" w:cs="Times New Roman"/>
          <w:sz w:val="28"/>
          <w:szCs w:val="28"/>
        </w:rPr>
        <w:br w:type="page"/>
      </w:r>
    </w:p>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六、项目简介</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96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614" w:hRule="atLeast"/>
        </w:trPr>
        <w:tc>
          <w:tcPr>
            <w:tcW w:w="8963" w:type="dxa"/>
          </w:tcPr>
          <w:p>
            <w:pPr>
              <w:pStyle w:val="11"/>
              <w:spacing w:beforeLines="50" w:afterLines="50" w:line="360" w:lineRule="auto"/>
              <w:ind w:firstLineChars="175"/>
              <w:rPr>
                <w:rFonts w:ascii="宋体" w:hAnsi="宋体" w:eastAsia="宋体" w:cs="Times New Roman"/>
                <w:sz w:val="24"/>
                <w:szCs w:val="24"/>
              </w:rPr>
            </w:pPr>
            <w:r>
              <w:rPr>
                <w:rFonts w:hint="eastAsia" w:ascii="宋体" w:hAnsi="宋体" w:eastAsia="宋体" w:cs="Times New Roman"/>
                <w:sz w:val="24"/>
                <w:szCs w:val="24"/>
              </w:rPr>
              <w:t>根据世界卫生组织《2021年世界疟疾报告》，2020年全世界估计有2.41亿疟疾病例，死亡人数为62.7万人。与2019年相比，2020年的病例增加了约1400万例，死亡人数增加了6.9万人。其中，恶性疟以病程快速发展及高死亡率倍受关注，也是当前疟疾发病的主要形式。以青蒿素为基础的复方药物是近年来全球疟疾防治工作取得重要进展，然而在大湄公河次区域已出现对青蒿素（部分）耐药和对复方中其它主要药物成分耐药，为恶性疟疾的传播、流行和防治带来了严峻的挑战。又一，世界卫生组织国际癌症研究机构（IARC）发布2020年全球癌症新发病例1929万，死亡996万。其中，肺癌发病221.7万，死亡178.6万，位居恶性肿瘤死亡率之首（CA Cancer J Clin 2022;May）。我国肺癌发病率和死亡率也位于四大高发肿瘤之首，严重威胁人民生命健康。由于我国城乡差异较大，地区分布不均，肺癌等恶性肿瘤防控形势仍然严峻。</w:t>
            </w:r>
          </w:p>
          <w:p>
            <w:pPr>
              <w:pStyle w:val="11"/>
              <w:spacing w:beforeLines="50" w:afterLines="50" w:line="360" w:lineRule="auto"/>
              <w:ind w:firstLineChars="175"/>
              <w:rPr>
                <w:rFonts w:ascii="宋体" w:hAnsi="宋体" w:eastAsia="宋体" w:cs="Times New Roman"/>
                <w:sz w:val="24"/>
                <w:szCs w:val="24"/>
              </w:rPr>
            </w:pPr>
            <w:r>
              <w:rPr>
                <w:rFonts w:hint="eastAsia" w:ascii="宋体" w:hAnsi="宋体" w:eastAsia="宋体" w:cs="Times New Roman"/>
                <w:sz w:val="24"/>
                <w:szCs w:val="24"/>
              </w:rPr>
              <w:t>项目组发明了完全自主知识产权的以CD147为靶点的人源化单抗，在抑制恶性疟原虫裂殖子入侵红细胞，抑制肿瘤进展等方面取得突出成效，创新点如下：</w:t>
            </w:r>
          </w:p>
          <w:p>
            <w:pPr>
              <w:pStyle w:val="11"/>
              <w:spacing w:beforeLines="50" w:afterLines="50" w:line="360" w:lineRule="auto"/>
              <w:ind w:firstLine="422" w:firstLineChars="175"/>
              <w:rPr>
                <w:rFonts w:ascii="宋体" w:hAnsi="宋体" w:eastAsia="宋体" w:cs="Times New Roman"/>
                <w:b/>
                <w:bCs/>
                <w:sz w:val="24"/>
                <w:szCs w:val="24"/>
              </w:rPr>
            </w:pPr>
            <w:r>
              <w:rPr>
                <w:rFonts w:hint="eastAsia" w:ascii="宋体" w:hAnsi="宋体" w:eastAsia="宋体" w:cs="Times New Roman"/>
                <w:b/>
                <w:bCs/>
                <w:sz w:val="24"/>
                <w:szCs w:val="24"/>
              </w:rPr>
              <w:t>1、首次发现人源化CD147单抗抑制治疗恶性疟疾的机制是阻断恶性疟原虫裂殖子入侵红细胞的受配体CD147-RAP2，通过抗体抑制恶性疟原虫纳虫泡的形成，阻断了恶性疟原虫大量入侵红细胞的通路。</w:t>
            </w:r>
          </w:p>
          <w:p>
            <w:pPr>
              <w:pStyle w:val="11"/>
              <w:spacing w:beforeLines="50" w:afterLines="50" w:line="360" w:lineRule="auto"/>
              <w:ind w:firstLineChars="175"/>
              <w:rPr>
                <w:rFonts w:ascii="宋体" w:hAnsi="宋体" w:eastAsia="宋体" w:cs="Times New Roman"/>
                <w:sz w:val="24"/>
                <w:szCs w:val="24"/>
              </w:rPr>
            </w:pPr>
            <w:r>
              <w:rPr>
                <w:rFonts w:hint="eastAsia" w:ascii="宋体" w:hAnsi="宋体" w:eastAsia="宋体" w:cs="Times New Roman"/>
                <w:sz w:val="24"/>
                <w:szCs w:val="24"/>
              </w:rPr>
              <w:t>项目组利用免疫亲和层析联用液相质谱的方法，筛选并确定了疟原虫与人红细胞表面CD147分子相互结合的另一重要配体分子RAP2（rhoptry-associated protein 2，棒状体相关蛋白2）。免疫共沉淀结果表明CD147和RAP2之间存在相互作用关系。进一步用SPR方法证实了二者之间存在直接的相互作用，二者的亲和力常数（KD）为2.08×10-6M。体内外实验结果表明：CD147与RAP2分子相互作用，促进纳虫泡形成，导致疟原虫裂殖子大量入侵红细胞，引起原虫血症（代表性论文1：BLOOD,2018，IF=16.6）。</w:t>
            </w:r>
          </w:p>
          <w:p>
            <w:pPr>
              <w:pStyle w:val="11"/>
              <w:spacing w:beforeLines="50" w:afterLines="50" w:line="360" w:lineRule="auto"/>
              <w:ind w:firstLineChars="175"/>
              <w:rPr>
                <w:rFonts w:ascii="宋体" w:hAnsi="宋体" w:eastAsia="宋体" w:cs="Times New Roman"/>
                <w:sz w:val="24"/>
                <w:szCs w:val="24"/>
              </w:rPr>
            </w:pPr>
            <w:r>
              <w:rPr>
                <w:rFonts w:hint="eastAsia" w:ascii="宋体" w:hAnsi="宋体" w:eastAsia="宋体" w:cs="Times New Roman"/>
                <w:sz w:val="24"/>
                <w:szCs w:val="24"/>
              </w:rPr>
              <w:t>针对以上发现，项目组首次研发了以CD147为靶点的单抗（国家发明专利授权：201610285139.4），该药物抑制治疗恶性疟疾的机制是阻断恶性疟原虫裂殖子入侵红细胞的受配体CD147-RAP2关系，通过抗体抑制恶性疟原虫纳虫泡的形成，阻断了恶性疟原虫大量入侵红细胞的通路，是抑制恶性疟红内期抗疟药物。体内外实验证明该药物可显著抑制疟原虫入侵红细胞。体内预防和治疗实验结果表明美珀珠单抗可有效抑制恶性疟原虫3D7和DD2株入侵人红细胞，具有时间依赖性，且疗效优于氯喹。该药物临床前安全性评估表明该药物安全、可耐受。（代表性论文1：BLOOD,2018，IF=16.6；代表性论文2：Acta Pharm Sin B，2020，IF=11.413，）。</w:t>
            </w:r>
          </w:p>
          <w:p>
            <w:pPr>
              <w:pStyle w:val="11"/>
              <w:spacing w:beforeLines="50" w:afterLines="50" w:line="360" w:lineRule="auto"/>
              <w:ind w:firstLine="422" w:firstLineChars="175"/>
              <w:rPr>
                <w:rFonts w:ascii="宋体" w:hAnsi="宋体" w:eastAsia="宋体" w:cs="Times New Roman"/>
                <w:b/>
                <w:bCs/>
                <w:sz w:val="24"/>
                <w:szCs w:val="24"/>
              </w:rPr>
            </w:pPr>
            <w:r>
              <w:rPr>
                <w:rFonts w:hint="eastAsia" w:ascii="宋体" w:hAnsi="宋体" w:eastAsia="宋体" w:cs="Times New Roman"/>
                <w:b/>
                <w:bCs/>
                <w:sz w:val="24"/>
                <w:szCs w:val="24"/>
              </w:rPr>
              <w:t>2、首次发现CD147-K234me2是非小细胞肺癌（NSCLC）等恶性肿瘤乳酸代谢、改变肿瘤微环境，促进肿瘤增殖的关键代谢调控分子，抗CD147修饰抗体特异性识别肿瘤细胞中CD147-K234二甲基化修饰，用于NSCLC患者的早期诊断及预后评估。</w:t>
            </w:r>
          </w:p>
          <w:p>
            <w:pPr>
              <w:pStyle w:val="11"/>
              <w:spacing w:beforeLines="50" w:afterLines="50" w:line="360" w:lineRule="auto"/>
              <w:ind w:firstLineChars="175"/>
              <w:rPr>
                <w:rFonts w:ascii="宋体" w:hAnsi="宋体" w:eastAsia="宋体" w:cs="Times New Roman"/>
                <w:sz w:val="24"/>
                <w:szCs w:val="24"/>
              </w:rPr>
            </w:pPr>
            <w:r>
              <w:rPr>
                <w:rFonts w:hint="eastAsia" w:ascii="宋体" w:hAnsi="宋体" w:eastAsia="宋体" w:cs="Times New Roman"/>
                <w:sz w:val="24"/>
                <w:szCs w:val="24"/>
              </w:rPr>
              <w:t>通过质谱技术在非小细胞肺癌（NSCLC）组织中检测到CD147分子多个赖氨酸位点存在二甲基化修饰，并证明发现甲基转移酶KMT5A负责了CD147二甲基化修饰的发生，促进了CD147与MCT4之间的相互作用，增强了MCT4从细胞质向细胞膜的转运，从而增强了NSCLC细胞的糖酵解和乳酸输出，加速肿瘤进展。</w:t>
            </w:r>
          </w:p>
          <w:p>
            <w:pPr>
              <w:pStyle w:val="11"/>
              <w:spacing w:beforeLines="50" w:afterLines="50" w:line="360" w:lineRule="auto"/>
              <w:ind w:firstLineChars="175"/>
              <w:rPr>
                <w:rFonts w:ascii="宋体" w:hAnsi="宋体" w:eastAsia="宋体" w:cs="Times New Roman"/>
                <w:sz w:val="24"/>
                <w:szCs w:val="24"/>
              </w:rPr>
            </w:pPr>
            <w:r>
              <w:rPr>
                <w:rFonts w:hint="eastAsia" w:ascii="宋体" w:hAnsi="宋体" w:eastAsia="宋体" w:cs="Times New Roman"/>
                <w:sz w:val="24"/>
                <w:szCs w:val="24"/>
              </w:rPr>
              <w:t>针对以上发现，项目组发明了针对CD147-K234me2的特异性抗体，该抗体在152例NSCLC组织中临床分析表明，CD147-K234me2的表达水平越高，患者的总生存期越短，CD147-K234me2的表达水平与肿瘤进展情况呈正相关，且对评价NSCLC患者的预后具有重要意义（代表性论文3：Cell Metab. 2021，IF= 27.287）。</w:t>
            </w:r>
          </w:p>
          <w:p>
            <w:pPr>
              <w:pStyle w:val="11"/>
              <w:spacing w:beforeLines="50" w:afterLines="50" w:line="360" w:lineRule="auto"/>
              <w:ind w:firstLineChars="175"/>
              <w:rPr>
                <w:rFonts w:ascii="宋体" w:hAnsi="宋体" w:eastAsia="宋体" w:cs="Times New Roman"/>
                <w:sz w:val="24"/>
                <w:szCs w:val="24"/>
              </w:rPr>
            </w:pPr>
            <w:r>
              <w:rPr>
                <w:rFonts w:hint="eastAsia" w:ascii="宋体" w:hAnsi="宋体" w:eastAsia="宋体" w:cs="Times New Roman"/>
                <w:sz w:val="24"/>
                <w:szCs w:val="24"/>
              </w:rPr>
              <w:t>本项目的主要创新点：</w:t>
            </w:r>
          </w:p>
          <w:p>
            <w:pPr>
              <w:pStyle w:val="11"/>
              <w:spacing w:beforeLines="50" w:afterLines="50" w:line="360" w:lineRule="auto"/>
              <w:ind w:firstLineChars="175"/>
              <w:rPr>
                <w:rFonts w:ascii="宋体" w:hAnsi="宋体" w:eastAsia="宋体" w:cs="Times New Roman"/>
                <w:sz w:val="24"/>
                <w:szCs w:val="24"/>
              </w:rPr>
            </w:pPr>
            <w:r>
              <w:rPr>
                <w:rFonts w:hint="eastAsia" w:ascii="宋体" w:hAnsi="宋体" w:eastAsia="宋体" w:cs="Times New Roman"/>
                <w:sz w:val="24"/>
                <w:szCs w:val="24"/>
              </w:rPr>
              <w:t>1、首次发现人源化CD147单抗抑制治疗恶性疟疾的机制是阻断恶性疟原虫裂殖子入侵红细胞的受配体CD147-RAP2，通过抗体抑制恶性疟原虫纳虫泡的形成，阻断了恶性疟原虫大量入侵红细胞的通路，是抑制恶性疟红内期抗疟药物。</w:t>
            </w:r>
          </w:p>
          <w:p>
            <w:pPr>
              <w:pStyle w:val="11"/>
              <w:spacing w:beforeLines="50" w:afterLines="50" w:line="360" w:lineRule="auto"/>
              <w:ind w:firstLineChars="175"/>
              <w:rPr>
                <w:rFonts w:ascii="仿宋_GB2312" w:hAnsi="Times New Roman" w:eastAsia="仿宋_GB2312" w:cs="Times New Roman"/>
                <w:sz w:val="28"/>
                <w:szCs w:val="28"/>
              </w:rPr>
            </w:pPr>
            <w:r>
              <w:rPr>
                <w:rFonts w:hint="eastAsia" w:ascii="宋体" w:hAnsi="宋体" w:eastAsia="宋体" w:cs="Times New Roman"/>
                <w:sz w:val="24"/>
                <w:szCs w:val="24"/>
              </w:rPr>
              <w:t>2、首次发现CD147-K234me2是非小细胞肺癌（NSCLC）等恶性肿瘤乳酸代谢、改变肿瘤微环境，促进肿瘤增殖的关键代谢调控分子，抗CD147修饰抗体特异性识别肿瘤细胞中CD147-K234二甲基化修饰，用于NSCLC患者的早期诊断及预后评估。</w:t>
            </w:r>
          </w:p>
        </w:tc>
      </w:tr>
    </w:tbl>
    <w:p>
      <w:pPr>
        <w:widowControl/>
        <w:jc w:val="left"/>
        <w:rPr>
          <w:rFonts w:ascii="仿宋_GB2312" w:hAnsi="Times New Roman" w:eastAsia="仿宋_GB2312" w:cs="Times New Roman"/>
          <w:sz w:val="28"/>
          <w:szCs w:val="28"/>
        </w:rPr>
      </w:pPr>
      <w:r>
        <w:rPr>
          <w:rFonts w:ascii="仿宋_GB2312" w:hAnsi="Times New Roman" w:eastAsia="仿宋_GB2312" w:cs="Times New Roman"/>
          <w:sz w:val="28"/>
          <w:szCs w:val="28"/>
        </w:rPr>
        <w:br w:type="page"/>
      </w:r>
    </w:p>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七、客观评价</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96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12890" w:hRule="atLeast"/>
        </w:trPr>
        <w:tc>
          <w:tcPr>
            <w:tcW w:w="8963" w:type="dxa"/>
          </w:tcPr>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针对发明内容1的评述</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发表在Blood，2018（代表性论文1）的工作，发现了CD147介导恶性疟原虫感染人红细胞的新机制的研究。被下列同行所引用和评述</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美国马里兰州国立卫生研究院KarthigayanGunalan 团队发表在Trends in Parasitology(2018;34(5):420-429,IF=9.014)文章，指出红细胞膜蛋白CD147作为恶性疟原虫和间日疟原虫的受体在疟疾入侵红细胞过程中发挥重要作用。</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英国牛津大学Simon J Draper团队发表在Cell Host &amp; Microbe（2018；24 (1) ：43-56，IF=21.023）文章，显示与CD147结合的多种疟原虫组分是具有诱导功能性抗体的、高度保守的分子，靶向这些组分可以提高疫苗的效力。</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荷兰乌得勒支大学Virginia Pretini团队在 Frontiers in Physiology（2019；10，IF=4.566）引用我们的工作，证明CD147作为红细胞膜上的粘附分子通过与多种疟原虫配体蛋白相互作用参与促进恶性疟原虫入侵红细胞。</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发表在Acta Pharm Sin B，2020（代表性论文2）的工作，探讨了“抗CD147人源化单抗”在预防和治疗恶性疟原虫氯喹耐药株体内感染的研究结果和临床前安全性结果，被下列同行所引用和评述</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美国BiStro Biotech Consulting LLC 公司创始人William R. Strohl发表在BioDrugs( 2022;36:231</w:t>
            </w:r>
            <w:r>
              <w:rPr>
                <w:rFonts w:hint="eastAsia" w:ascii="宋体" w:hAnsi="宋体" w:eastAsia="宋体" w:cs="微软雅黑"/>
                <w:sz w:val="24"/>
                <w:szCs w:val="24"/>
              </w:rPr>
              <w:t>–</w:t>
            </w:r>
            <w:r>
              <w:rPr>
                <w:rFonts w:hint="eastAsia" w:ascii="宋体" w:hAnsi="宋体" w:eastAsia="宋体" w:cs="Times New Roman"/>
                <w:sz w:val="24"/>
                <w:szCs w:val="24"/>
              </w:rPr>
              <w:t>323,IF=5.807)文章，肯定了靶向CD147人源化单克隆抗体在恶性疟原虫入侵人红细胞中的抑制性治疗药效。</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针对发明内容2的评述</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发表在Cell Metab. 2021（代表性论文3）的工作，从蛋白质翻译后修饰水平阐述了CD147-K234二甲基化修饰在肿瘤代谢中的作用，制备的CD147修饰抗体在NSCLC患者的早期诊断及预后评估中的意义。被下列同行所引用和评述：</w:t>
            </w:r>
          </w:p>
          <w:p>
            <w:pPr>
              <w:pStyle w:val="11"/>
              <w:spacing w:beforeLines="50" w:afterLines="50"/>
              <w:ind w:firstLineChars="175"/>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复旦大学Yinghong Shi团队发表在Hepatology的论著引用了我们的工作，肯定了MCT4在恶性肿瘤糖酵解和乳酸外排中的重要作用。</w:t>
            </w:r>
          </w:p>
          <w:p>
            <w:pPr>
              <w:pStyle w:val="11"/>
              <w:spacing w:beforeLines="50" w:afterLines="50"/>
              <w:ind w:firstLineChars="175"/>
              <w:rPr>
                <w:rFonts w:ascii="仿宋_GB2312" w:hAnsi="Times New Roman" w:eastAsia="仿宋_GB2312"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上海交通大学Jun Pu团队发表在Oxidative Medicine and Cellular Longevity的论著引用了我们的工作，肯定了CD147和MCT4在糖代谢重编程中的重要作用。</w:t>
            </w:r>
          </w:p>
        </w:tc>
      </w:tr>
    </w:tbl>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八、应用情况和效益</w:t>
      </w:r>
    </w:p>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（一）应用情况</w:t>
      </w:r>
    </w:p>
    <w:p>
      <w:pPr>
        <w:spacing w:beforeLines="50" w:afterLines="50" w:line="360" w:lineRule="atLeast"/>
        <w:ind w:firstLine="424" w:firstLineChars="177"/>
        <w:jc w:val="left"/>
        <w:rPr>
          <w:bCs/>
          <w:sz w:val="24"/>
        </w:rPr>
      </w:pPr>
      <w:r>
        <w:rPr>
          <w:bCs/>
          <w:sz w:val="24"/>
        </w:rPr>
        <w:t>获国家发明专利授权1项，成果转化800万元。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1761"/>
        <w:gridCol w:w="1762"/>
        <w:gridCol w:w="1762"/>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shd w:val="clear" w:color="auto" w:fill="auto"/>
          </w:tcPr>
          <w:p>
            <w:pPr>
              <w:spacing w:beforeLines="50" w:afterLines="50" w:line="360" w:lineRule="atLeast"/>
              <w:jc w:val="left"/>
              <w:rPr>
                <w:bCs/>
                <w:sz w:val="24"/>
              </w:rPr>
            </w:pPr>
            <w:r>
              <w:rPr>
                <w:rFonts w:eastAsia="仿宋_GB2312"/>
                <w:sz w:val="24"/>
              </w:rPr>
              <w:t>项目总投资额</w:t>
            </w:r>
          </w:p>
        </w:tc>
        <w:tc>
          <w:tcPr>
            <w:tcW w:w="3523" w:type="dxa"/>
            <w:gridSpan w:val="2"/>
            <w:shd w:val="clear" w:color="auto" w:fill="auto"/>
            <w:vAlign w:val="center"/>
          </w:tcPr>
          <w:p>
            <w:pPr>
              <w:spacing w:beforeLines="50" w:afterLines="50" w:line="360" w:lineRule="atLeast"/>
              <w:jc w:val="left"/>
              <w:rPr>
                <w:bCs/>
                <w:sz w:val="24"/>
              </w:rPr>
            </w:pPr>
          </w:p>
        </w:tc>
        <w:tc>
          <w:tcPr>
            <w:tcW w:w="1762" w:type="dxa"/>
            <w:shd w:val="clear" w:color="auto" w:fill="auto"/>
            <w:vAlign w:val="center"/>
          </w:tcPr>
          <w:p>
            <w:pPr>
              <w:spacing w:beforeLines="50" w:afterLines="50" w:line="360" w:lineRule="atLeast"/>
              <w:jc w:val="left"/>
              <w:rPr>
                <w:bCs/>
                <w:sz w:val="24"/>
              </w:rPr>
            </w:pPr>
            <w:r>
              <w:rPr>
                <w:rFonts w:eastAsia="仿宋_GB2312"/>
                <w:sz w:val="24"/>
              </w:rPr>
              <w:t>经济效益总额</w:t>
            </w:r>
          </w:p>
        </w:tc>
        <w:tc>
          <w:tcPr>
            <w:tcW w:w="1762" w:type="dxa"/>
            <w:shd w:val="clear" w:color="auto" w:fill="auto"/>
            <w:vAlign w:val="center"/>
          </w:tcPr>
          <w:p>
            <w:pPr>
              <w:spacing w:beforeLines="50" w:afterLines="50" w:line="360" w:lineRule="atLeast"/>
              <w:jc w:val="left"/>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shd w:val="clear" w:color="auto" w:fill="auto"/>
          </w:tcPr>
          <w:p>
            <w:pPr>
              <w:spacing w:beforeLines="50" w:afterLines="50" w:line="500" w:lineRule="exact"/>
              <w:ind w:firstLine="720"/>
              <w:rPr>
                <w:rFonts w:eastAsia="仿宋_GB2312"/>
                <w:sz w:val="24"/>
              </w:rPr>
            </w:pPr>
            <w:r>
              <w:rPr>
                <w:rFonts w:eastAsia="仿宋_GB2312"/>
                <w:sz w:val="24"/>
              </w:rPr>
              <w:t>栏目</w:t>
            </w:r>
          </w:p>
          <w:p>
            <w:pPr>
              <w:spacing w:beforeLines="50" w:afterLines="50" w:line="360" w:lineRule="atLeast"/>
              <w:jc w:val="left"/>
              <w:rPr>
                <w:bCs/>
                <w:sz w:val="24"/>
              </w:rPr>
            </w:pPr>
            <w:r>
              <w:rPr>
                <w:rFonts w:eastAsia="仿宋_GB2312"/>
                <w:sz w:val="24"/>
              </w:rPr>
              <w:t>年份</w:t>
            </w:r>
          </w:p>
        </w:tc>
        <w:tc>
          <w:tcPr>
            <w:tcW w:w="1761" w:type="dxa"/>
            <w:shd w:val="clear" w:color="auto" w:fill="auto"/>
            <w:vAlign w:val="center"/>
          </w:tcPr>
          <w:p>
            <w:pPr>
              <w:spacing w:beforeLines="50" w:afterLines="50" w:line="360" w:lineRule="atLeast"/>
              <w:jc w:val="left"/>
              <w:rPr>
                <w:bCs/>
                <w:sz w:val="24"/>
              </w:rPr>
            </w:pPr>
            <w:r>
              <w:rPr>
                <w:rFonts w:eastAsia="仿宋_GB2312"/>
                <w:sz w:val="24"/>
              </w:rPr>
              <w:t>新增利润</w:t>
            </w:r>
          </w:p>
        </w:tc>
        <w:tc>
          <w:tcPr>
            <w:tcW w:w="1762" w:type="dxa"/>
            <w:shd w:val="clear" w:color="auto" w:fill="auto"/>
            <w:vAlign w:val="center"/>
          </w:tcPr>
          <w:p>
            <w:pPr>
              <w:spacing w:beforeLines="50" w:afterLines="50" w:line="360" w:lineRule="atLeast"/>
              <w:jc w:val="left"/>
              <w:rPr>
                <w:bCs/>
                <w:sz w:val="24"/>
              </w:rPr>
            </w:pPr>
            <w:r>
              <w:rPr>
                <w:rFonts w:eastAsia="仿宋_GB2312"/>
                <w:sz w:val="24"/>
              </w:rPr>
              <w:t>新增利税</w:t>
            </w:r>
          </w:p>
        </w:tc>
        <w:tc>
          <w:tcPr>
            <w:tcW w:w="1762" w:type="dxa"/>
            <w:shd w:val="clear" w:color="auto" w:fill="auto"/>
            <w:vAlign w:val="center"/>
          </w:tcPr>
          <w:p>
            <w:pPr>
              <w:spacing w:beforeLines="50" w:afterLines="50" w:line="360" w:lineRule="atLeast"/>
              <w:jc w:val="left"/>
              <w:rPr>
                <w:bCs/>
                <w:sz w:val="24"/>
              </w:rPr>
            </w:pPr>
            <w:r>
              <w:rPr>
                <w:rFonts w:eastAsia="仿宋_GB2312"/>
                <w:sz w:val="24"/>
              </w:rPr>
              <w:t>创收外汇（美元）</w:t>
            </w:r>
          </w:p>
        </w:tc>
        <w:tc>
          <w:tcPr>
            <w:tcW w:w="1762" w:type="dxa"/>
            <w:shd w:val="clear" w:color="auto" w:fill="auto"/>
            <w:vAlign w:val="center"/>
          </w:tcPr>
          <w:p>
            <w:pPr>
              <w:spacing w:beforeLines="50" w:afterLines="50" w:line="360" w:lineRule="atLeast"/>
              <w:jc w:val="left"/>
              <w:rPr>
                <w:bCs/>
                <w:sz w:val="24"/>
              </w:rPr>
            </w:pPr>
            <w:r>
              <w:rPr>
                <w:rFonts w:eastAsia="仿宋_GB2312"/>
                <w:sz w:val="24"/>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shd w:val="clear" w:color="auto" w:fill="auto"/>
          </w:tcPr>
          <w:p>
            <w:pPr>
              <w:spacing w:beforeLines="50" w:afterLines="50" w:line="360" w:lineRule="atLeast"/>
              <w:jc w:val="left"/>
              <w:rPr>
                <w:bCs/>
                <w:sz w:val="24"/>
              </w:rPr>
            </w:pPr>
            <w:r>
              <w:rPr>
                <w:rFonts w:hint="eastAsia"/>
                <w:bCs/>
                <w:sz w:val="24"/>
              </w:rPr>
              <w:t>2</w:t>
            </w:r>
            <w:r>
              <w:rPr>
                <w:bCs/>
                <w:sz w:val="24"/>
              </w:rPr>
              <w:t>017</w:t>
            </w:r>
            <w:r>
              <w:rPr>
                <w:rFonts w:hint="eastAsia"/>
                <w:bCs/>
                <w:sz w:val="24"/>
              </w:rPr>
              <w:t>年</w:t>
            </w:r>
          </w:p>
        </w:tc>
        <w:tc>
          <w:tcPr>
            <w:tcW w:w="1761" w:type="dxa"/>
            <w:shd w:val="clear" w:color="auto" w:fill="auto"/>
          </w:tcPr>
          <w:p>
            <w:pPr>
              <w:spacing w:beforeLines="50" w:afterLines="50" w:line="360" w:lineRule="atLeast"/>
              <w:jc w:val="left"/>
              <w:rPr>
                <w:bCs/>
                <w:sz w:val="24"/>
              </w:rPr>
            </w:pPr>
            <w:r>
              <w:rPr>
                <w:rFonts w:hint="eastAsia"/>
                <w:bCs/>
                <w:sz w:val="24"/>
              </w:rPr>
              <w:t>8</w:t>
            </w:r>
            <w:r>
              <w:rPr>
                <w:bCs/>
                <w:sz w:val="24"/>
              </w:rPr>
              <w:t>00</w:t>
            </w:r>
            <w:r>
              <w:rPr>
                <w:rFonts w:hint="eastAsia"/>
                <w:bCs/>
                <w:sz w:val="24"/>
              </w:rPr>
              <w:t>万元</w:t>
            </w:r>
          </w:p>
        </w:tc>
        <w:tc>
          <w:tcPr>
            <w:tcW w:w="1762" w:type="dxa"/>
            <w:shd w:val="clear" w:color="auto" w:fill="auto"/>
          </w:tcPr>
          <w:p>
            <w:pPr>
              <w:spacing w:beforeLines="50" w:afterLines="50" w:line="360" w:lineRule="atLeast"/>
              <w:jc w:val="left"/>
              <w:rPr>
                <w:bCs/>
                <w:sz w:val="24"/>
              </w:rPr>
            </w:pPr>
          </w:p>
        </w:tc>
        <w:tc>
          <w:tcPr>
            <w:tcW w:w="1762" w:type="dxa"/>
            <w:shd w:val="clear" w:color="auto" w:fill="auto"/>
          </w:tcPr>
          <w:p>
            <w:pPr>
              <w:spacing w:beforeLines="50" w:afterLines="50" w:line="360" w:lineRule="atLeast"/>
              <w:jc w:val="left"/>
              <w:rPr>
                <w:bCs/>
                <w:sz w:val="24"/>
              </w:rPr>
            </w:pPr>
          </w:p>
        </w:tc>
        <w:tc>
          <w:tcPr>
            <w:tcW w:w="1762" w:type="dxa"/>
            <w:shd w:val="clear" w:color="auto" w:fill="auto"/>
          </w:tcPr>
          <w:p>
            <w:pPr>
              <w:spacing w:beforeLines="50" w:afterLines="50" w:line="360" w:lineRule="atLeast"/>
              <w:jc w:val="left"/>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shd w:val="clear" w:color="auto" w:fill="auto"/>
          </w:tcPr>
          <w:p>
            <w:pPr>
              <w:spacing w:beforeLines="50" w:afterLines="50" w:line="360" w:lineRule="atLeast"/>
              <w:jc w:val="left"/>
              <w:rPr>
                <w:bCs/>
                <w:sz w:val="24"/>
              </w:rPr>
            </w:pPr>
            <w:r>
              <w:rPr>
                <w:rFonts w:eastAsia="仿宋_GB2312"/>
                <w:sz w:val="24"/>
              </w:rPr>
              <w:t>累计</w:t>
            </w:r>
          </w:p>
        </w:tc>
        <w:tc>
          <w:tcPr>
            <w:tcW w:w="1761" w:type="dxa"/>
            <w:shd w:val="clear" w:color="auto" w:fill="auto"/>
          </w:tcPr>
          <w:p>
            <w:pPr>
              <w:spacing w:beforeLines="50" w:afterLines="50" w:line="360" w:lineRule="atLeast"/>
              <w:jc w:val="left"/>
              <w:rPr>
                <w:bCs/>
                <w:sz w:val="24"/>
              </w:rPr>
            </w:pPr>
            <w:r>
              <w:rPr>
                <w:rFonts w:hint="eastAsia"/>
                <w:bCs/>
                <w:sz w:val="24"/>
              </w:rPr>
              <w:t>8</w:t>
            </w:r>
            <w:r>
              <w:rPr>
                <w:bCs/>
                <w:sz w:val="24"/>
              </w:rPr>
              <w:t>00</w:t>
            </w:r>
            <w:r>
              <w:rPr>
                <w:rFonts w:hint="eastAsia"/>
                <w:bCs/>
                <w:sz w:val="24"/>
              </w:rPr>
              <w:t>万元</w:t>
            </w:r>
          </w:p>
        </w:tc>
        <w:tc>
          <w:tcPr>
            <w:tcW w:w="1762" w:type="dxa"/>
            <w:shd w:val="clear" w:color="auto" w:fill="auto"/>
          </w:tcPr>
          <w:p>
            <w:pPr>
              <w:spacing w:beforeLines="50" w:afterLines="50" w:line="360" w:lineRule="atLeast"/>
              <w:jc w:val="left"/>
              <w:rPr>
                <w:bCs/>
                <w:sz w:val="24"/>
              </w:rPr>
            </w:pPr>
          </w:p>
        </w:tc>
        <w:tc>
          <w:tcPr>
            <w:tcW w:w="1762" w:type="dxa"/>
            <w:shd w:val="clear" w:color="auto" w:fill="auto"/>
          </w:tcPr>
          <w:p>
            <w:pPr>
              <w:spacing w:beforeLines="50" w:afterLines="50" w:line="360" w:lineRule="atLeast"/>
              <w:jc w:val="left"/>
              <w:rPr>
                <w:bCs/>
                <w:sz w:val="24"/>
              </w:rPr>
            </w:pPr>
          </w:p>
        </w:tc>
        <w:tc>
          <w:tcPr>
            <w:tcW w:w="1762" w:type="dxa"/>
            <w:shd w:val="clear" w:color="auto" w:fill="auto"/>
          </w:tcPr>
          <w:p>
            <w:pPr>
              <w:spacing w:beforeLines="50" w:afterLines="50" w:line="360" w:lineRule="atLeast"/>
              <w:jc w:val="left"/>
              <w:rPr>
                <w:bCs/>
                <w:sz w:val="24"/>
              </w:rPr>
            </w:pPr>
          </w:p>
        </w:tc>
      </w:tr>
    </w:tbl>
    <w:p>
      <w:pPr>
        <w:spacing w:beforeLines="50" w:afterLines="50" w:line="360" w:lineRule="atLeast"/>
        <w:ind w:firstLine="424" w:firstLineChars="177"/>
        <w:jc w:val="left"/>
        <w:rPr>
          <w:bCs/>
          <w:sz w:val="24"/>
        </w:rPr>
      </w:pPr>
      <w:r>
        <w:rPr>
          <w:rFonts w:hint="eastAsia"/>
          <w:bCs/>
          <w:sz w:val="24"/>
        </w:rPr>
        <w:t>栏目的计算依据</w:t>
      </w:r>
    </w:p>
    <w:p>
      <w:pPr>
        <w:spacing w:beforeLines="50" w:afterLines="50" w:line="360" w:lineRule="atLeast"/>
        <w:ind w:firstLine="424" w:firstLineChars="177"/>
        <w:jc w:val="left"/>
        <w:rPr>
          <w:bCs/>
          <w:sz w:val="24"/>
        </w:rPr>
      </w:pPr>
      <w:r>
        <w:rPr>
          <w:rFonts w:hint="eastAsia"/>
          <w:bCs/>
          <w:sz w:val="24"/>
        </w:rPr>
        <w:t>以上数据为《HAb18G/CD147抗体细胞株及其相关专利》（江苏太平洋美诺克生物药业有限公司）技术转让协议书补充协议到账金额。</w:t>
      </w:r>
    </w:p>
    <w:p>
      <w:pPr>
        <w:ind w:firstLine="560" w:firstLineChars="200"/>
        <w:rPr>
          <w:rFonts w:ascii="仿宋_GB2312" w:hAnsi="Times New Roman" w:eastAsia="仿宋_GB2312" w:cs="Times New Roman"/>
          <w:sz w:val="28"/>
          <w:szCs w:val="28"/>
        </w:rPr>
      </w:pPr>
    </w:p>
    <w:p>
      <w:pPr>
        <w:rPr>
          <w:rFonts w:ascii="仿宋_GB2312" w:hAnsi="Times New Roman" w:eastAsia="仿宋_GB2312" w:cs="Times New Roman"/>
          <w:sz w:val="28"/>
          <w:szCs w:val="28"/>
        </w:rPr>
      </w:pPr>
      <w:r>
        <w:rPr>
          <w:rFonts w:hint="eastAsia" w:ascii="仿宋_GB2312" w:hAnsi="Times New Roman" w:eastAsia="仿宋_GB2312" w:cs="Times New Roman"/>
          <w:sz w:val="28"/>
          <w:szCs w:val="28"/>
        </w:rPr>
        <w:t>（二）经济效益和社会效益</w:t>
      </w:r>
    </w:p>
    <w:p>
      <w:pPr>
        <w:spacing w:beforeLines="50" w:afterLines="50" w:line="360" w:lineRule="atLeast"/>
        <w:jc w:val="left"/>
        <w:rPr>
          <w:bCs/>
          <w:sz w:val="24"/>
        </w:rPr>
      </w:pPr>
      <w:r>
        <w:rPr>
          <w:bCs/>
          <w:sz w:val="24"/>
        </w:rPr>
        <w:t>1）经济效益</w:t>
      </w:r>
    </w:p>
    <w:p>
      <w:pPr>
        <w:spacing w:beforeLines="50" w:afterLines="50" w:line="360" w:lineRule="atLeast"/>
        <w:ind w:firstLine="424" w:firstLineChars="177"/>
        <w:jc w:val="left"/>
        <w:rPr>
          <w:bCs/>
          <w:sz w:val="24"/>
        </w:rPr>
      </w:pPr>
      <w:r>
        <w:rPr>
          <w:bCs/>
          <w:sz w:val="24"/>
        </w:rPr>
        <w:t>获国家发明专利授权1项，成果转化800万元。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1761"/>
        <w:gridCol w:w="1762"/>
        <w:gridCol w:w="1762"/>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shd w:val="clear" w:color="auto" w:fill="auto"/>
          </w:tcPr>
          <w:p>
            <w:pPr>
              <w:spacing w:beforeLines="50" w:afterLines="50" w:line="360" w:lineRule="atLeast"/>
              <w:jc w:val="left"/>
              <w:rPr>
                <w:bCs/>
                <w:sz w:val="24"/>
              </w:rPr>
            </w:pPr>
            <w:r>
              <w:rPr>
                <w:rFonts w:eastAsia="仿宋_GB2312"/>
                <w:sz w:val="24"/>
              </w:rPr>
              <w:t>项目总投资额</w:t>
            </w:r>
          </w:p>
        </w:tc>
        <w:tc>
          <w:tcPr>
            <w:tcW w:w="3523" w:type="dxa"/>
            <w:gridSpan w:val="2"/>
            <w:shd w:val="clear" w:color="auto" w:fill="auto"/>
            <w:vAlign w:val="center"/>
          </w:tcPr>
          <w:p>
            <w:pPr>
              <w:spacing w:beforeLines="50" w:afterLines="50" w:line="360" w:lineRule="atLeast"/>
              <w:jc w:val="left"/>
              <w:rPr>
                <w:bCs/>
                <w:sz w:val="24"/>
              </w:rPr>
            </w:pPr>
          </w:p>
        </w:tc>
        <w:tc>
          <w:tcPr>
            <w:tcW w:w="1762" w:type="dxa"/>
            <w:shd w:val="clear" w:color="auto" w:fill="auto"/>
            <w:vAlign w:val="center"/>
          </w:tcPr>
          <w:p>
            <w:pPr>
              <w:spacing w:beforeLines="50" w:afterLines="50" w:line="360" w:lineRule="atLeast"/>
              <w:jc w:val="left"/>
              <w:rPr>
                <w:bCs/>
                <w:sz w:val="24"/>
              </w:rPr>
            </w:pPr>
            <w:r>
              <w:rPr>
                <w:rFonts w:eastAsia="仿宋_GB2312"/>
                <w:sz w:val="24"/>
              </w:rPr>
              <w:t>经济效益总额</w:t>
            </w:r>
          </w:p>
        </w:tc>
        <w:tc>
          <w:tcPr>
            <w:tcW w:w="1762" w:type="dxa"/>
            <w:shd w:val="clear" w:color="auto" w:fill="auto"/>
            <w:vAlign w:val="center"/>
          </w:tcPr>
          <w:p>
            <w:pPr>
              <w:spacing w:beforeLines="50" w:afterLines="50" w:line="360" w:lineRule="atLeast"/>
              <w:jc w:val="left"/>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shd w:val="clear" w:color="auto" w:fill="auto"/>
          </w:tcPr>
          <w:p>
            <w:pPr>
              <w:spacing w:beforeLines="50" w:afterLines="50" w:line="500" w:lineRule="exact"/>
              <w:ind w:firstLine="720"/>
              <w:rPr>
                <w:rFonts w:eastAsia="仿宋_GB2312"/>
                <w:sz w:val="24"/>
              </w:rPr>
            </w:pPr>
            <w:r>
              <w:rPr>
                <w:rFonts w:eastAsia="仿宋_GB2312"/>
                <w:sz w:val="24"/>
              </w:rPr>
              <w:t>栏目</w:t>
            </w:r>
          </w:p>
          <w:p>
            <w:pPr>
              <w:spacing w:beforeLines="50" w:afterLines="50" w:line="360" w:lineRule="atLeast"/>
              <w:jc w:val="left"/>
              <w:rPr>
                <w:bCs/>
                <w:sz w:val="24"/>
              </w:rPr>
            </w:pPr>
            <w:r>
              <w:rPr>
                <w:rFonts w:eastAsia="仿宋_GB2312"/>
                <w:sz w:val="24"/>
              </w:rPr>
              <w:t>年份</w:t>
            </w:r>
          </w:p>
        </w:tc>
        <w:tc>
          <w:tcPr>
            <w:tcW w:w="1761" w:type="dxa"/>
            <w:shd w:val="clear" w:color="auto" w:fill="auto"/>
            <w:vAlign w:val="center"/>
          </w:tcPr>
          <w:p>
            <w:pPr>
              <w:spacing w:beforeLines="50" w:afterLines="50" w:line="360" w:lineRule="atLeast"/>
              <w:jc w:val="left"/>
              <w:rPr>
                <w:bCs/>
                <w:sz w:val="24"/>
              </w:rPr>
            </w:pPr>
            <w:r>
              <w:rPr>
                <w:rFonts w:eastAsia="仿宋_GB2312"/>
                <w:sz w:val="24"/>
              </w:rPr>
              <w:t>新增利润</w:t>
            </w:r>
          </w:p>
        </w:tc>
        <w:tc>
          <w:tcPr>
            <w:tcW w:w="1762" w:type="dxa"/>
            <w:shd w:val="clear" w:color="auto" w:fill="auto"/>
            <w:vAlign w:val="center"/>
          </w:tcPr>
          <w:p>
            <w:pPr>
              <w:spacing w:beforeLines="50" w:afterLines="50" w:line="360" w:lineRule="atLeast"/>
              <w:jc w:val="left"/>
              <w:rPr>
                <w:bCs/>
                <w:sz w:val="24"/>
              </w:rPr>
            </w:pPr>
            <w:r>
              <w:rPr>
                <w:rFonts w:eastAsia="仿宋_GB2312"/>
                <w:sz w:val="24"/>
              </w:rPr>
              <w:t>新增利税</w:t>
            </w:r>
          </w:p>
        </w:tc>
        <w:tc>
          <w:tcPr>
            <w:tcW w:w="1762" w:type="dxa"/>
            <w:shd w:val="clear" w:color="auto" w:fill="auto"/>
            <w:vAlign w:val="center"/>
          </w:tcPr>
          <w:p>
            <w:pPr>
              <w:spacing w:beforeLines="50" w:afterLines="50" w:line="360" w:lineRule="atLeast"/>
              <w:jc w:val="left"/>
              <w:rPr>
                <w:bCs/>
                <w:sz w:val="24"/>
              </w:rPr>
            </w:pPr>
            <w:r>
              <w:rPr>
                <w:rFonts w:eastAsia="仿宋_GB2312"/>
                <w:sz w:val="24"/>
              </w:rPr>
              <w:t>创收外汇（美元）</w:t>
            </w:r>
          </w:p>
        </w:tc>
        <w:tc>
          <w:tcPr>
            <w:tcW w:w="1762" w:type="dxa"/>
            <w:shd w:val="clear" w:color="auto" w:fill="auto"/>
            <w:vAlign w:val="center"/>
          </w:tcPr>
          <w:p>
            <w:pPr>
              <w:spacing w:beforeLines="50" w:afterLines="50" w:line="360" w:lineRule="atLeast"/>
              <w:jc w:val="left"/>
              <w:rPr>
                <w:bCs/>
                <w:sz w:val="24"/>
              </w:rPr>
            </w:pPr>
            <w:r>
              <w:rPr>
                <w:rFonts w:eastAsia="仿宋_GB2312"/>
                <w:sz w:val="24"/>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shd w:val="clear" w:color="auto" w:fill="auto"/>
          </w:tcPr>
          <w:p>
            <w:pPr>
              <w:spacing w:beforeLines="50" w:afterLines="50" w:line="360" w:lineRule="atLeast"/>
              <w:jc w:val="left"/>
              <w:rPr>
                <w:bCs/>
                <w:sz w:val="24"/>
              </w:rPr>
            </w:pPr>
            <w:r>
              <w:rPr>
                <w:rFonts w:hint="eastAsia"/>
                <w:bCs/>
                <w:sz w:val="24"/>
              </w:rPr>
              <w:t>2</w:t>
            </w:r>
            <w:r>
              <w:rPr>
                <w:bCs/>
                <w:sz w:val="24"/>
              </w:rPr>
              <w:t>017</w:t>
            </w:r>
            <w:r>
              <w:rPr>
                <w:rFonts w:hint="eastAsia"/>
                <w:bCs/>
                <w:sz w:val="24"/>
              </w:rPr>
              <w:t>年</w:t>
            </w:r>
          </w:p>
        </w:tc>
        <w:tc>
          <w:tcPr>
            <w:tcW w:w="1761" w:type="dxa"/>
            <w:shd w:val="clear" w:color="auto" w:fill="auto"/>
          </w:tcPr>
          <w:p>
            <w:pPr>
              <w:spacing w:beforeLines="50" w:afterLines="50" w:line="360" w:lineRule="atLeast"/>
              <w:jc w:val="left"/>
              <w:rPr>
                <w:bCs/>
                <w:sz w:val="24"/>
              </w:rPr>
            </w:pPr>
            <w:r>
              <w:rPr>
                <w:rFonts w:hint="eastAsia"/>
                <w:bCs/>
                <w:sz w:val="24"/>
              </w:rPr>
              <w:t>8</w:t>
            </w:r>
            <w:r>
              <w:rPr>
                <w:bCs/>
                <w:sz w:val="24"/>
              </w:rPr>
              <w:t>00</w:t>
            </w:r>
            <w:r>
              <w:rPr>
                <w:rFonts w:hint="eastAsia"/>
                <w:bCs/>
                <w:sz w:val="24"/>
              </w:rPr>
              <w:t>万元</w:t>
            </w:r>
          </w:p>
        </w:tc>
        <w:tc>
          <w:tcPr>
            <w:tcW w:w="1762" w:type="dxa"/>
            <w:shd w:val="clear" w:color="auto" w:fill="auto"/>
          </w:tcPr>
          <w:p>
            <w:pPr>
              <w:spacing w:beforeLines="50" w:afterLines="50" w:line="360" w:lineRule="atLeast"/>
              <w:jc w:val="left"/>
              <w:rPr>
                <w:bCs/>
                <w:sz w:val="24"/>
              </w:rPr>
            </w:pPr>
          </w:p>
        </w:tc>
        <w:tc>
          <w:tcPr>
            <w:tcW w:w="1762" w:type="dxa"/>
            <w:shd w:val="clear" w:color="auto" w:fill="auto"/>
          </w:tcPr>
          <w:p>
            <w:pPr>
              <w:spacing w:beforeLines="50" w:afterLines="50" w:line="360" w:lineRule="atLeast"/>
              <w:jc w:val="left"/>
              <w:rPr>
                <w:bCs/>
                <w:sz w:val="24"/>
              </w:rPr>
            </w:pPr>
          </w:p>
        </w:tc>
        <w:tc>
          <w:tcPr>
            <w:tcW w:w="1762" w:type="dxa"/>
            <w:shd w:val="clear" w:color="auto" w:fill="auto"/>
          </w:tcPr>
          <w:p>
            <w:pPr>
              <w:spacing w:beforeLines="50" w:afterLines="50" w:line="360" w:lineRule="atLeast"/>
              <w:jc w:val="left"/>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shd w:val="clear" w:color="auto" w:fill="auto"/>
          </w:tcPr>
          <w:p>
            <w:pPr>
              <w:spacing w:beforeLines="50" w:afterLines="50" w:line="360" w:lineRule="atLeast"/>
              <w:jc w:val="left"/>
              <w:rPr>
                <w:bCs/>
                <w:sz w:val="24"/>
              </w:rPr>
            </w:pPr>
            <w:r>
              <w:rPr>
                <w:rFonts w:eastAsia="仿宋_GB2312"/>
                <w:sz w:val="24"/>
              </w:rPr>
              <w:t>累计</w:t>
            </w:r>
          </w:p>
        </w:tc>
        <w:tc>
          <w:tcPr>
            <w:tcW w:w="1761" w:type="dxa"/>
            <w:shd w:val="clear" w:color="auto" w:fill="auto"/>
          </w:tcPr>
          <w:p>
            <w:pPr>
              <w:spacing w:beforeLines="50" w:afterLines="50" w:line="360" w:lineRule="atLeast"/>
              <w:jc w:val="left"/>
              <w:rPr>
                <w:bCs/>
                <w:sz w:val="24"/>
              </w:rPr>
            </w:pPr>
            <w:r>
              <w:rPr>
                <w:rFonts w:hint="eastAsia"/>
                <w:bCs/>
                <w:sz w:val="24"/>
              </w:rPr>
              <w:t>8</w:t>
            </w:r>
            <w:r>
              <w:rPr>
                <w:bCs/>
                <w:sz w:val="24"/>
              </w:rPr>
              <w:t>00</w:t>
            </w:r>
            <w:r>
              <w:rPr>
                <w:rFonts w:hint="eastAsia"/>
                <w:bCs/>
                <w:sz w:val="24"/>
              </w:rPr>
              <w:t>万元</w:t>
            </w:r>
          </w:p>
        </w:tc>
        <w:tc>
          <w:tcPr>
            <w:tcW w:w="1762" w:type="dxa"/>
            <w:shd w:val="clear" w:color="auto" w:fill="auto"/>
          </w:tcPr>
          <w:p>
            <w:pPr>
              <w:spacing w:beforeLines="50" w:afterLines="50" w:line="360" w:lineRule="atLeast"/>
              <w:jc w:val="left"/>
              <w:rPr>
                <w:bCs/>
                <w:sz w:val="24"/>
              </w:rPr>
            </w:pPr>
          </w:p>
        </w:tc>
        <w:tc>
          <w:tcPr>
            <w:tcW w:w="1762" w:type="dxa"/>
            <w:shd w:val="clear" w:color="auto" w:fill="auto"/>
          </w:tcPr>
          <w:p>
            <w:pPr>
              <w:spacing w:beforeLines="50" w:afterLines="50" w:line="360" w:lineRule="atLeast"/>
              <w:jc w:val="left"/>
              <w:rPr>
                <w:bCs/>
                <w:sz w:val="24"/>
              </w:rPr>
            </w:pPr>
          </w:p>
        </w:tc>
        <w:tc>
          <w:tcPr>
            <w:tcW w:w="1762" w:type="dxa"/>
            <w:shd w:val="clear" w:color="auto" w:fill="auto"/>
          </w:tcPr>
          <w:p>
            <w:pPr>
              <w:spacing w:beforeLines="50" w:afterLines="50" w:line="360" w:lineRule="atLeast"/>
              <w:jc w:val="left"/>
              <w:rPr>
                <w:bCs/>
                <w:sz w:val="24"/>
              </w:rPr>
            </w:pPr>
          </w:p>
        </w:tc>
      </w:tr>
    </w:tbl>
    <w:p>
      <w:pPr>
        <w:spacing w:beforeLines="50" w:afterLines="50" w:line="360" w:lineRule="atLeast"/>
        <w:ind w:firstLine="424" w:firstLineChars="177"/>
        <w:jc w:val="left"/>
        <w:rPr>
          <w:bCs/>
          <w:sz w:val="24"/>
        </w:rPr>
      </w:pPr>
      <w:r>
        <w:rPr>
          <w:rFonts w:hint="eastAsia"/>
          <w:bCs/>
          <w:sz w:val="24"/>
        </w:rPr>
        <w:t>栏目的计算依据</w:t>
      </w:r>
    </w:p>
    <w:p>
      <w:pPr>
        <w:spacing w:beforeLines="50" w:afterLines="50" w:line="360" w:lineRule="atLeast"/>
        <w:ind w:firstLine="424" w:firstLineChars="177"/>
        <w:jc w:val="left"/>
        <w:rPr>
          <w:bCs/>
          <w:sz w:val="24"/>
        </w:rPr>
      </w:pPr>
      <w:r>
        <w:rPr>
          <w:rFonts w:hint="eastAsia"/>
          <w:bCs/>
          <w:sz w:val="24"/>
        </w:rPr>
        <w:t>以上数据为《HAb18G/CD147抗体细胞株及其相关专利》（江苏太平洋美诺克生物药业有限公司）技术转让协议书补充协议到账金额。</w:t>
      </w:r>
    </w:p>
    <w:p>
      <w:pPr>
        <w:spacing w:beforeLines="50" w:afterLines="50" w:line="360" w:lineRule="atLeast"/>
        <w:ind w:firstLine="424" w:firstLineChars="177"/>
        <w:jc w:val="left"/>
        <w:rPr>
          <w:bCs/>
          <w:sz w:val="24"/>
        </w:rPr>
      </w:pPr>
    </w:p>
    <w:p>
      <w:pPr>
        <w:spacing w:beforeLines="50" w:afterLines="50" w:line="360" w:lineRule="atLeast"/>
        <w:jc w:val="left"/>
        <w:rPr>
          <w:bCs/>
          <w:sz w:val="24"/>
        </w:rPr>
      </w:pPr>
      <w:r>
        <w:rPr>
          <w:bCs/>
          <w:sz w:val="24"/>
        </w:rPr>
        <w:t>（2）</w:t>
      </w:r>
      <w:r>
        <w:rPr>
          <w:rFonts w:hint="eastAsia"/>
          <w:bCs/>
          <w:sz w:val="24"/>
        </w:rPr>
        <w:t>社会效益</w:t>
      </w:r>
    </w:p>
    <w:p>
      <w:pPr>
        <w:spacing w:beforeLines="50" w:afterLines="50" w:line="360" w:lineRule="atLeast"/>
        <w:ind w:firstLine="480" w:firstLineChars="200"/>
        <w:jc w:val="left"/>
        <w:rPr>
          <w:bCs/>
          <w:sz w:val="24"/>
        </w:rPr>
      </w:pPr>
      <w:r>
        <w:rPr>
          <w:rFonts w:hint="eastAsia"/>
          <w:bCs/>
          <w:sz w:val="24"/>
        </w:rPr>
        <w:t>本项目组研发的人源化C</w:t>
      </w:r>
      <w:r>
        <w:rPr>
          <w:bCs/>
          <w:sz w:val="24"/>
        </w:rPr>
        <w:t>D147</w:t>
      </w:r>
      <w:r>
        <w:rPr>
          <w:rFonts w:hint="eastAsia"/>
          <w:bCs/>
          <w:sz w:val="24"/>
        </w:rPr>
        <w:t>单抗（H</w:t>
      </w:r>
      <w:r>
        <w:rPr>
          <w:bCs/>
          <w:sz w:val="24"/>
        </w:rPr>
        <w:t>P6H8</w:t>
      </w:r>
      <w:r>
        <w:rPr>
          <w:rFonts w:hint="eastAsia"/>
          <w:bCs/>
          <w:sz w:val="24"/>
        </w:rPr>
        <w:t>）在治疗和预防恶性疟原虫入侵红细胞上表现出疗效优于传统抗疟药氯喹的特点，并表现出良好的安全性和耐受性，该抗体有助于为全球抗疟工作带来新方法、新药物，也有助于促进我国自主创新抗体产业的发展，具有良好的应用前景和社会效益。研发的C</w:t>
      </w:r>
      <w:r>
        <w:rPr>
          <w:bCs/>
          <w:sz w:val="24"/>
        </w:rPr>
        <w:t>D147</w:t>
      </w:r>
      <w:r>
        <w:rPr>
          <w:rFonts w:hint="eastAsia"/>
          <w:bCs/>
          <w:sz w:val="24"/>
        </w:rPr>
        <w:t>修饰抗体有助于临床早期非小细胞肺癌患者预后判断及诊断，具有很强的实用性。</w:t>
      </w:r>
    </w:p>
    <w:p>
      <w:pPr>
        <w:pStyle w:val="11"/>
        <w:spacing w:beforeLines="50" w:afterLines="50"/>
        <w:ind w:firstLineChars="175"/>
        <w:rPr>
          <w:rFonts w:ascii="仿宋_GB2312" w:hAnsi="Times New Roman" w:eastAsia="仿宋_GB2312" w:cs="Times New Roman"/>
          <w:sz w:val="28"/>
          <w:szCs w:val="28"/>
        </w:rPr>
      </w:pPr>
      <w:r>
        <w:rPr>
          <w:bCs/>
          <w:sz w:val="24"/>
        </w:rPr>
        <w:t>研究成果获国家发明专利授权1项，本项目获国家发明专利授权1项；发表SCI论文9篇，其中</w:t>
      </w:r>
      <w:r>
        <w:rPr>
          <w:rFonts w:hint="eastAsia"/>
          <w:bCs/>
          <w:sz w:val="24"/>
        </w:rPr>
        <w:t>部分成果发表于</w:t>
      </w:r>
      <w:r>
        <w:rPr>
          <w:bCs/>
          <w:sz w:val="24"/>
        </w:rPr>
        <w:t>Cell子刊Cell Meta</w:t>
      </w:r>
      <w:r>
        <w:rPr>
          <w:rFonts w:hint="eastAsia"/>
          <w:bCs/>
          <w:sz w:val="24"/>
        </w:rPr>
        <w:t>b</w:t>
      </w:r>
      <w:r>
        <w:rPr>
          <w:bCs/>
          <w:sz w:val="24"/>
        </w:rPr>
        <w:t>.(IF=27.287)，IF10以上5篇；成果转化1项，金额800万元。部分工作发表于BLOOD、Cell Metab、Acta Pharm Sin B等国际权威期刊，得到国际同行的高度重视</w:t>
      </w:r>
      <w:r>
        <w:rPr>
          <w:rFonts w:hint="eastAsia"/>
          <w:bCs/>
          <w:sz w:val="24"/>
        </w:rPr>
        <w:t>，培养博士、硕士研究生1</w:t>
      </w:r>
      <w:r>
        <w:rPr>
          <w:bCs/>
          <w:sz w:val="24"/>
        </w:rPr>
        <w:t>0</w:t>
      </w:r>
      <w:r>
        <w:rPr>
          <w:rFonts w:hint="eastAsia"/>
          <w:bCs/>
          <w:sz w:val="24"/>
        </w:rPr>
        <w:t>名</w:t>
      </w:r>
      <w:r>
        <w:rPr>
          <w:bCs/>
          <w:sz w:val="24"/>
        </w:rPr>
        <w:t>。</w:t>
      </w:r>
    </w:p>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九、主要知识产权目录</w:t>
      </w:r>
    </w:p>
    <w:tbl>
      <w:tblPr>
        <w:tblStyle w:val="6"/>
        <w:tblW w:w="4905"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5"/>
        <w:gridCol w:w="705"/>
        <w:gridCol w:w="1769"/>
        <w:gridCol w:w="869"/>
        <w:gridCol w:w="1460"/>
        <w:gridCol w:w="1020"/>
        <w:gridCol w:w="873"/>
        <w:gridCol w:w="873"/>
        <w:gridCol w:w="10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序号</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知识产权类别</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知识产权具体名称</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国家</w:t>
            </w:r>
          </w:p>
          <w:p>
            <w:pPr>
              <w:pStyle w:val="3"/>
              <w:spacing w:line="240" w:lineRule="auto"/>
              <w:ind w:firstLine="0" w:firstLineChars="0"/>
              <w:rPr>
                <w:rFonts w:ascii="Times New Roman" w:eastAsia="宋体" w:cs="Times New Roman"/>
                <w:szCs w:val="24"/>
              </w:rPr>
            </w:pPr>
            <w:r>
              <w:rPr>
                <w:rFonts w:ascii="Times New Roman" w:eastAsia="宋体" w:cs="Times New Roman"/>
                <w:szCs w:val="24"/>
              </w:rPr>
              <w:t>（地区）</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授权号</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授权日期</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证书编号</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权利人</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1</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发明专利</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一种抗BASIGIN人源化抗体及其应用</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201610285139.4</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2019.04.30</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第3354717号</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陈志南、朱平、黄婉、张征，张阳、张梦瑶、边惠洁、蒋建利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ind w:firstLine="0" w:firstLineChars="0"/>
              <w:rPr>
                <w:rFonts w:ascii="Times New Roman" w:eastAsia="宋体" w:cs="Times New Roman"/>
                <w:szCs w:val="24"/>
              </w:rPr>
            </w:pPr>
            <w:r>
              <w:rPr>
                <w:rFonts w:ascii="Times New Roman" w:eastAsia="宋体" w:cs="Times New Roman"/>
                <w:szCs w:val="24"/>
              </w:rPr>
              <w:t>DisruptingCD147-RAP2interactionabrogateserythrocyteinvasion byPlasmodium</w:t>
            </w:r>
          </w:p>
          <w:p>
            <w:pPr>
              <w:pStyle w:val="3"/>
              <w:spacing w:line="240" w:lineRule="auto"/>
              <w:ind w:firstLine="0" w:firstLineChars="0"/>
              <w:rPr>
                <w:rFonts w:ascii="Times New Roman" w:eastAsia="宋体" w:cs="Times New Roman"/>
                <w:szCs w:val="24"/>
              </w:rPr>
            </w:pPr>
            <w:r>
              <w:rPr>
                <w:rFonts w:ascii="Times New Roman" w:eastAsia="宋体" w:cs="Times New Roman"/>
                <w:szCs w:val="24"/>
              </w:rPr>
              <w:t>falciparum</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2018 Mar 8;131(10):1111-1121.</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hint="eastAsia" w:ascii="Times New Roman" w:eastAsia="宋体" w:cs="Times New Roman"/>
                <w:szCs w:val="24"/>
              </w:rPr>
              <w:t>2</w:t>
            </w:r>
            <w:r>
              <w:rPr>
                <w:rFonts w:ascii="Times New Roman" w:eastAsia="宋体" w:cs="Times New Roman"/>
                <w:szCs w:val="24"/>
              </w:rPr>
              <w:t>018</w:t>
            </w:r>
            <w:r>
              <w:rPr>
                <w:rFonts w:hint="eastAsia" w:ascii="Times New Roman" w:eastAsia="宋体" w:cs="Times New Roman"/>
                <w:szCs w:val="24"/>
              </w:rPr>
              <w:t>年0</w:t>
            </w:r>
            <w:r>
              <w:rPr>
                <w:rFonts w:ascii="Times New Roman" w:eastAsia="宋体" w:cs="Times New Roman"/>
                <w:szCs w:val="24"/>
              </w:rPr>
              <w:t>3</w:t>
            </w:r>
            <w:r>
              <w:rPr>
                <w:rFonts w:hint="eastAsia" w:ascii="Times New Roman" w:eastAsia="宋体" w:cs="Times New Roman"/>
                <w:szCs w:val="24"/>
              </w:rPr>
              <w:t>月0</w:t>
            </w:r>
            <w:r>
              <w:rPr>
                <w:rFonts w:ascii="Times New Roman" w:eastAsia="宋体" w:cs="Times New Roman"/>
                <w:szCs w:val="24"/>
              </w:rPr>
              <w:t>8</w:t>
            </w:r>
            <w:r>
              <w:rPr>
                <w:rFonts w:hint="eastAsia" w:ascii="Times New Roman" w:eastAsia="宋体" w:cs="Times New Roman"/>
                <w:szCs w:val="24"/>
              </w:rPr>
              <w:t>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Blood</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hint="eastAsia" w:ascii="Times New Roman" w:eastAsia="宋体" w:cs="Times New Roman"/>
                <w:szCs w:val="24"/>
              </w:rPr>
              <w:t>朱平、陈志南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hint="eastAsia" w:ascii="Times New Roman" w:eastAsia="宋体" w:cs="Times New Roman"/>
                <w:szCs w:val="24"/>
              </w:rPr>
              <w:t>3</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ind w:firstLine="0" w:firstLineChars="0"/>
              <w:rPr>
                <w:rFonts w:ascii="Times New Roman" w:eastAsia="宋体" w:cs="Times New Roman"/>
                <w:szCs w:val="24"/>
              </w:rPr>
            </w:pPr>
            <w:r>
              <w:rPr>
                <w:rFonts w:ascii="Times New Roman" w:eastAsia="宋体" w:cs="Times New Roman"/>
                <w:szCs w:val="24"/>
              </w:rPr>
              <w:t>Nonclinical safety, tolerance and pharmacodynamics evaluation for meplazumab treating chloroquine-resistant Plasmodium falciparum</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2020 Sep;10(9):1680-1693.</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hint="eastAsia" w:ascii="Times New Roman" w:eastAsia="宋体" w:cs="Times New Roman"/>
                <w:szCs w:val="24"/>
              </w:rPr>
              <w:t>2</w:t>
            </w:r>
            <w:r>
              <w:rPr>
                <w:rFonts w:ascii="Times New Roman" w:eastAsia="宋体" w:cs="Times New Roman"/>
                <w:szCs w:val="24"/>
              </w:rPr>
              <w:t>020</w:t>
            </w:r>
            <w:r>
              <w:rPr>
                <w:rFonts w:hint="eastAsia" w:ascii="Times New Roman" w:eastAsia="宋体" w:cs="Times New Roman"/>
                <w:szCs w:val="24"/>
              </w:rPr>
              <w:t>年09月1</w:t>
            </w:r>
            <w:r>
              <w:rPr>
                <w:rFonts w:ascii="Times New Roman" w:eastAsia="宋体" w:cs="Times New Roman"/>
                <w:szCs w:val="24"/>
              </w:rPr>
              <w:t>0</w:t>
            </w:r>
            <w:r>
              <w:rPr>
                <w:rFonts w:hint="eastAsia" w:ascii="Times New Roman" w:eastAsia="宋体" w:cs="Times New Roman"/>
                <w:szCs w:val="24"/>
              </w:rPr>
              <w:t>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Acta Pharm Sin B</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hint="eastAsia" w:ascii="Times New Roman" w:eastAsia="宋体" w:cs="Times New Roman"/>
                <w:szCs w:val="24"/>
              </w:rPr>
              <w:t>边惠洁、朱平、陈志南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hint="eastAsia" w:ascii="Times New Roman" w:eastAsia="宋体" w:cs="Times New Roman"/>
                <w:szCs w:val="24"/>
              </w:rPr>
              <w:t>4</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Di-methylation of CD147-K234 Promotes the Progression of NSCLC by Enhancing Lactate Export.</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2021 Jan 5;33(1):160-173.</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2021年1月5日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Cell Metab</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hint="eastAsia" w:ascii="Times New Roman" w:eastAsia="宋体" w:cs="Times New Roman"/>
                <w:szCs w:val="24"/>
              </w:rPr>
              <w:t>朱平、边惠洁、陈志南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5</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CD147 regulates antitumor CD8+ T-cell responses to facilitate tumor-immune escape.</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2021 Aug;18(8):1995-2009.</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2021年8月18日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Cell Mol Immunol.</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hint="eastAsia" w:ascii="Times New Roman" w:eastAsia="宋体" w:cs="Times New Roman"/>
                <w:szCs w:val="24"/>
              </w:rPr>
              <w:t>徐静、边惠洁、陈志南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6</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CD147 deficiency in T cells prevents thymic involution by inhibiting the EMT process in TECs in the presence of TGFβ.</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2021 Jan;18(1):171-181.</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2021年1月18日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Cell Mol Immunol.</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陈志南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7</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CALR-TLR4 Complex Inhibits Non-Small Cell Lung Cancer Progression by Regulating the Migration and Maturation of Dendritic Cells.</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2021 Oct 1;11:743050</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2021年10月1日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Front Oncol</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陈志南</w:t>
            </w:r>
            <w:r>
              <w:rPr>
                <w:rFonts w:hint="eastAsia" w:ascii="Times New Roman" w:eastAsia="宋体" w:cs="Times New Roman"/>
                <w:szCs w:val="24"/>
              </w:rPr>
              <w:t>、</w:t>
            </w:r>
            <w:r>
              <w:rPr>
                <w:rFonts w:ascii="Times New Roman" w:eastAsia="宋体" w:cs="Times New Roman"/>
                <w:szCs w:val="24"/>
              </w:rPr>
              <w:t>王珂</w:t>
            </w:r>
          </w:p>
          <w:p>
            <w:pPr>
              <w:pStyle w:val="3"/>
              <w:spacing w:line="240" w:lineRule="auto"/>
              <w:ind w:firstLine="0" w:firstLineChars="0"/>
              <w:rPr>
                <w:rFonts w:ascii="Times New Roman" w:eastAsia="宋体" w:cs="Times New Roman"/>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8</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Identification of differentially expressed genes in non-small cell lung cancer.</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2019 Dec 9;11(23):11170-11185.</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 xml:space="preserve"> 2019年12月9日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Aging (Albany NY).</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陈志南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9</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microRNA-146a inhibits cancer metastasis by downregulating VEGF through dual pathways in hepatocellular carcinoma.</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2015 Jan 21;14:5</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2015年1月21日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Mol Cancer</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陈志南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10</w:t>
            </w:r>
          </w:p>
        </w:tc>
        <w:tc>
          <w:tcPr>
            <w:tcW w:w="39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论文</w:t>
            </w:r>
          </w:p>
        </w:tc>
        <w:tc>
          <w:tcPr>
            <w:tcW w:w="981"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Modulation of CD147-induced matrix metalloproteinase activity: role of CD147 N-glycosylation</w:t>
            </w:r>
          </w:p>
        </w:tc>
        <w:tc>
          <w:tcPr>
            <w:tcW w:w="482"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w:t>
            </w:r>
          </w:p>
        </w:tc>
        <w:tc>
          <w:tcPr>
            <w:tcW w:w="810"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2013 Jan 15;449(2):437-48.</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2013年1月15日</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Biochem J</w:t>
            </w:r>
          </w:p>
        </w:tc>
        <w:tc>
          <w:tcPr>
            <w:tcW w:w="484"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中国人民解放军第四军医大学</w:t>
            </w:r>
          </w:p>
        </w:tc>
        <w:tc>
          <w:tcPr>
            <w:tcW w:w="566" w:type="pct"/>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rPr>
                <w:rFonts w:ascii="Times New Roman" w:eastAsia="宋体" w:cs="Times New Roman"/>
                <w:szCs w:val="24"/>
              </w:rPr>
            </w:pPr>
            <w:r>
              <w:rPr>
                <w:rFonts w:ascii="Times New Roman" w:eastAsia="宋体" w:cs="Times New Roman"/>
                <w:szCs w:val="24"/>
              </w:rPr>
              <w:t>蒋建利</w:t>
            </w:r>
            <w:r>
              <w:rPr>
                <w:rFonts w:hint="eastAsia" w:ascii="Times New Roman" w:eastAsia="宋体" w:cs="Times New Roman"/>
                <w:szCs w:val="24"/>
              </w:rPr>
              <w:t>、</w:t>
            </w:r>
            <w:r>
              <w:rPr>
                <w:rFonts w:ascii="Times New Roman" w:eastAsia="宋体" w:cs="Times New Roman"/>
                <w:szCs w:val="24"/>
              </w:rPr>
              <w:t>陈志南</w:t>
            </w:r>
          </w:p>
          <w:p>
            <w:pPr>
              <w:pStyle w:val="3"/>
              <w:spacing w:line="240" w:lineRule="auto"/>
              <w:ind w:firstLine="0" w:firstLineChars="0"/>
              <w:rPr>
                <w:rFonts w:ascii="Times New Roman" w:eastAsia="宋体" w:cs="Times New Roman"/>
                <w:szCs w:val="24"/>
              </w:rPr>
            </w:pPr>
          </w:p>
        </w:tc>
      </w:tr>
    </w:tbl>
    <w:p>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十、完成人合作关系说明</w:t>
      </w:r>
    </w:p>
    <w:p>
      <w:pPr>
        <w:pStyle w:val="3"/>
        <w:spacing w:beforeLines="50" w:afterLines="50"/>
        <w:jc w:val="left"/>
        <w:rPr>
          <w:rFonts w:asciiTheme="minorEastAsia" w:hAnsiTheme="minorEastAsia"/>
          <w:bCs/>
          <w:szCs w:val="24"/>
        </w:rPr>
      </w:pPr>
      <w:r>
        <w:rPr>
          <w:rFonts w:asciiTheme="minorEastAsia" w:hAnsiTheme="minorEastAsia"/>
          <w:bCs/>
          <w:szCs w:val="24"/>
        </w:rPr>
        <w:t>项目完成人张征、朱平、黄婉、郭婷、张梦瑶、王珂均为中国人民解放军空军军医大学成员，已进行了长期合作。</w:t>
      </w:r>
    </w:p>
    <w:p>
      <w:pPr>
        <w:pStyle w:val="3"/>
        <w:spacing w:beforeLines="50" w:afterLines="50"/>
        <w:jc w:val="left"/>
        <w:rPr>
          <w:rFonts w:asciiTheme="minorEastAsia" w:hAnsiTheme="minorEastAsia"/>
          <w:bCs/>
          <w:szCs w:val="24"/>
        </w:rPr>
      </w:pPr>
      <w:r>
        <w:rPr>
          <w:rFonts w:asciiTheme="minorEastAsia" w:hAnsiTheme="minorEastAsia"/>
          <w:bCs/>
          <w:szCs w:val="24"/>
        </w:rPr>
        <w:t>完成人张征是本项目的负责人，是本项目所涉及授权发明专利的主要发明人，是多篇合著论文的主要作者，是陕西省技术发明一等奖项目“CD147抗体抑制恶性疟疾及肿瘤代谢调控机制的转化研究”的第1完成人。</w:t>
      </w:r>
    </w:p>
    <w:p>
      <w:pPr>
        <w:pStyle w:val="3"/>
        <w:spacing w:beforeLines="50" w:afterLines="50"/>
        <w:jc w:val="left"/>
        <w:rPr>
          <w:rFonts w:asciiTheme="minorEastAsia" w:hAnsiTheme="minorEastAsia"/>
          <w:bCs/>
          <w:szCs w:val="24"/>
        </w:rPr>
      </w:pPr>
      <w:r>
        <w:rPr>
          <w:rFonts w:asciiTheme="minorEastAsia" w:hAnsiTheme="minorEastAsia"/>
          <w:bCs/>
          <w:szCs w:val="24"/>
        </w:rPr>
        <w:t>完成人朱平是本项目的主要技术骨干，负责或参与了本项目相关内容的研究，是本项目所涉及授权发明专利的主要发明人，是多篇合著论文的主要作者，是陕西省技术发明一等奖项目“CD147抗体抑制恶性疟疾及肿瘤代谢调控机制的转化研究”的第2完成人。</w:t>
      </w:r>
    </w:p>
    <w:p>
      <w:pPr>
        <w:pStyle w:val="3"/>
        <w:spacing w:beforeLines="50" w:afterLines="50"/>
        <w:jc w:val="left"/>
        <w:rPr>
          <w:rFonts w:asciiTheme="minorEastAsia" w:hAnsiTheme="minorEastAsia"/>
          <w:bCs/>
          <w:szCs w:val="24"/>
        </w:rPr>
      </w:pPr>
      <w:r>
        <w:rPr>
          <w:rFonts w:asciiTheme="minorEastAsia" w:hAnsiTheme="minorEastAsia"/>
          <w:bCs/>
          <w:szCs w:val="24"/>
        </w:rPr>
        <w:t>完成人黄婉是本项目的主要技术骨干，负责或参与了本项目相关内容的研究，是本项目所涉及授权发明专利的主要发明人，是多篇合著论文的主要作者，是陕西省技术发明一等奖项目“CD147抗体抑制恶性疟疾及肿瘤代谢调控机制的转化研究”的第3完成人。</w:t>
      </w:r>
    </w:p>
    <w:p>
      <w:pPr>
        <w:pStyle w:val="3"/>
        <w:spacing w:beforeLines="50" w:afterLines="50"/>
        <w:jc w:val="left"/>
        <w:rPr>
          <w:rFonts w:asciiTheme="minorEastAsia" w:hAnsiTheme="minorEastAsia"/>
          <w:bCs/>
          <w:szCs w:val="24"/>
        </w:rPr>
      </w:pPr>
      <w:r>
        <w:rPr>
          <w:rFonts w:asciiTheme="minorEastAsia" w:hAnsiTheme="minorEastAsia"/>
          <w:bCs/>
          <w:szCs w:val="24"/>
        </w:rPr>
        <w:t>完成人郭婷是本项目的主要技术骨干，负责或参与了本项目相关内容的研究，在抗体的转化方面做出突出贡献，是本项目论文5的主要完成人，是陕西省技术发明一等奖项目“CD147抗体抑制恶性疟疾及肿瘤代谢调控机制的转化研究”的第4完成人。</w:t>
      </w:r>
    </w:p>
    <w:p>
      <w:pPr>
        <w:pStyle w:val="3"/>
        <w:spacing w:beforeLines="50" w:afterLines="50"/>
        <w:jc w:val="left"/>
        <w:rPr>
          <w:rFonts w:asciiTheme="minorEastAsia" w:hAnsiTheme="minorEastAsia"/>
          <w:bCs/>
          <w:szCs w:val="24"/>
        </w:rPr>
      </w:pPr>
      <w:r>
        <w:rPr>
          <w:rFonts w:asciiTheme="minorEastAsia" w:hAnsiTheme="minorEastAsia"/>
          <w:bCs/>
          <w:szCs w:val="24"/>
        </w:rPr>
        <w:t>完成人张梦瑶是本项目的主要技术骨干，负责或参与了本项目相关内容的研究，是本项目多篇合著论文的主要作者，是陕西省技术发明一等奖项目“CD147抗体抑制恶性疟疾及肿瘤代谢调控机制的转化研究”的第5完成人。</w:t>
      </w:r>
    </w:p>
    <w:p>
      <w:pPr>
        <w:pStyle w:val="3"/>
        <w:spacing w:beforeLines="50" w:afterLines="50"/>
        <w:jc w:val="left"/>
        <w:rPr>
          <w:rFonts w:asciiTheme="minorEastAsia" w:hAnsiTheme="minorEastAsia"/>
          <w:bCs/>
          <w:szCs w:val="24"/>
        </w:rPr>
      </w:pPr>
      <w:r>
        <w:rPr>
          <w:rFonts w:asciiTheme="minorEastAsia" w:hAnsiTheme="minorEastAsia"/>
          <w:bCs/>
          <w:szCs w:val="24"/>
        </w:rPr>
        <w:t>完成人王珂是本项目的主要技术骨干，负责或参与了本项目相关内容的研究，是本项目是多篇合著论文的主要作者，是陕西省技术发明一等奖项目“CD147抗体抑制恶性疟疾及肿瘤代谢调控机制的转化研究”的第6完成人。</w:t>
      </w:r>
    </w:p>
    <w:sectPr>
      <w:pgSz w:w="11906" w:h="16838"/>
      <w:pgMar w:top="1440" w:right="1133"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4MjlhNWY4YTJlZGRjMjk2MDJmNThkMWNlZWViOGIifQ=="/>
  </w:docVars>
  <w:rsids>
    <w:rsidRoot w:val="0063432F"/>
    <w:rsid w:val="000303E1"/>
    <w:rsid w:val="00030462"/>
    <w:rsid w:val="000311DE"/>
    <w:rsid w:val="00031714"/>
    <w:rsid w:val="00041321"/>
    <w:rsid w:val="000431F2"/>
    <w:rsid w:val="00050E5E"/>
    <w:rsid w:val="00071D80"/>
    <w:rsid w:val="00071F07"/>
    <w:rsid w:val="00073B37"/>
    <w:rsid w:val="0009509E"/>
    <w:rsid w:val="000A1EBE"/>
    <w:rsid w:val="000A439F"/>
    <w:rsid w:val="000B3ECC"/>
    <w:rsid w:val="000C03BF"/>
    <w:rsid w:val="000C0A6E"/>
    <w:rsid w:val="000C2A51"/>
    <w:rsid w:val="000C733C"/>
    <w:rsid w:val="000E1331"/>
    <w:rsid w:val="000E645C"/>
    <w:rsid w:val="00103836"/>
    <w:rsid w:val="00113B75"/>
    <w:rsid w:val="00116054"/>
    <w:rsid w:val="00120F45"/>
    <w:rsid w:val="001318CC"/>
    <w:rsid w:val="0014477E"/>
    <w:rsid w:val="0014707E"/>
    <w:rsid w:val="00150584"/>
    <w:rsid w:val="00156D53"/>
    <w:rsid w:val="00157013"/>
    <w:rsid w:val="00162F4B"/>
    <w:rsid w:val="001657F0"/>
    <w:rsid w:val="00173AC8"/>
    <w:rsid w:val="001819A9"/>
    <w:rsid w:val="00193FB5"/>
    <w:rsid w:val="001A17D0"/>
    <w:rsid w:val="001B0840"/>
    <w:rsid w:val="001B7F45"/>
    <w:rsid w:val="001D74AD"/>
    <w:rsid w:val="001F1942"/>
    <w:rsid w:val="001F43D2"/>
    <w:rsid w:val="001F47F5"/>
    <w:rsid w:val="00204E20"/>
    <w:rsid w:val="002201F5"/>
    <w:rsid w:val="00226295"/>
    <w:rsid w:val="00232A28"/>
    <w:rsid w:val="00233416"/>
    <w:rsid w:val="002720F7"/>
    <w:rsid w:val="00273667"/>
    <w:rsid w:val="00276773"/>
    <w:rsid w:val="002852BE"/>
    <w:rsid w:val="002A5A99"/>
    <w:rsid w:val="002B2436"/>
    <w:rsid w:val="002B39D8"/>
    <w:rsid w:val="002C4579"/>
    <w:rsid w:val="002D3233"/>
    <w:rsid w:val="002F5EAD"/>
    <w:rsid w:val="003125D0"/>
    <w:rsid w:val="0032622B"/>
    <w:rsid w:val="00330340"/>
    <w:rsid w:val="00337734"/>
    <w:rsid w:val="00340546"/>
    <w:rsid w:val="00353CCD"/>
    <w:rsid w:val="0036138B"/>
    <w:rsid w:val="00363F4C"/>
    <w:rsid w:val="003763B8"/>
    <w:rsid w:val="00382E16"/>
    <w:rsid w:val="00390FA9"/>
    <w:rsid w:val="003A30BC"/>
    <w:rsid w:val="003C070A"/>
    <w:rsid w:val="003C2352"/>
    <w:rsid w:val="003D3EAA"/>
    <w:rsid w:val="003D7883"/>
    <w:rsid w:val="003E1120"/>
    <w:rsid w:val="003E4E6B"/>
    <w:rsid w:val="003E5DC8"/>
    <w:rsid w:val="003E7341"/>
    <w:rsid w:val="003F3320"/>
    <w:rsid w:val="0040204E"/>
    <w:rsid w:val="00411307"/>
    <w:rsid w:val="004167A7"/>
    <w:rsid w:val="00425468"/>
    <w:rsid w:val="00432C5F"/>
    <w:rsid w:val="004331F3"/>
    <w:rsid w:val="00433792"/>
    <w:rsid w:val="00437969"/>
    <w:rsid w:val="00446985"/>
    <w:rsid w:val="004471DD"/>
    <w:rsid w:val="004559D8"/>
    <w:rsid w:val="00457AFD"/>
    <w:rsid w:val="004613CA"/>
    <w:rsid w:val="00463879"/>
    <w:rsid w:val="00467578"/>
    <w:rsid w:val="00472A76"/>
    <w:rsid w:val="0048382A"/>
    <w:rsid w:val="00484357"/>
    <w:rsid w:val="004D5BDF"/>
    <w:rsid w:val="004D72BA"/>
    <w:rsid w:val="004D7382"/>
    <w:rsid w:val="004F0CFC"/>
    <w:rsid w:val="004F107A"/>
    <w:rsid w:val="004F792C"/>
    <w:rsid w:val="005012D6"/>
    <w:rsid w:val="00502B5C"/>
    <w:rsid w:val="00515EE6"/>
    <w:rsid w:val="00533B6F"/>
    <w:rsid w:val="00534DD8"/>
    <w:rsid w:val="00546039"/>
    <w:rsid w:val="00554587"/>
    <w:rsid w:val="00555ABA"/>
    <w:rsid w:val="00557C4B"/>
    <w:rsid w:val="005608D0"/>
    <w:rsid w:val="00563816"/>
    <w:rsid w:val="0056428F"/>
    <w:rsid w:val="00566A85"/>
    <w:rsid w:val="00594803"/>
    <w:rsid w:val="005C3A55"/>
    <w:rsid w:val="005C71EC"/>
    <w:rsid w:val="005E5B61"/>
    <w:rsid w:val="005F3230"/>
    <w:rsid w:val="00630D23"/>
    <w:rsid w:val="00633FE3"/>
    <w:rsid w:val="0063432F"/>
    <w:rsid w:val="006401FE"/>
    <w:rsid w:val="006560DD"/>
    <w:rsid w:val="00661099"/>
    <w:rsid w:val="00674364"/>
    <w:rsid w:val="00685457"/>
    <w:rsid w:val="00691823"/>
    <w:rsid w:val="00693AA7"/>
    <w:rsid w:val="006B41B1"/>
    <w:rsid w:val="006B4C53"/>
    <w:rsid w:val="006B5538"/>
    <w:rsid w:val="006C39E1"/>
    <w:rsid w:val="006C7D5E"/>
    <w:rsid w:val="006E7368"/>
    <w:rsid w:val="006F41E3"/>
    <w:rsid w:val="006F5FDC"/>
    <w:rsid w:val="007066F9"/>
    <w:rsid w:val="00706D1E"/>
    <w:rsid w:val="00711BFD"/>
    <w:rsid w:val="0071368B"/>
    <w:rsid w:val="00713700"/>
    <w:rsid w:val="00724E6A"/>
    <w:rsid w:val="0074304E"/>
    <w:rsid w:val="00744021"/>
    <w:rsid w:val="00744C78"/>
    <w:rsid w:val="007452DC"/>
    <w:rsid w:val="00762EE8"/>
    <w:rsid w:val="00766362"/>
    <w:rsid w:val="00775A27"/>
    <w:rsid w:val="0078488D"/>
    <w:rsid w:val="007906EB"/>
    <w:rsid w:val="007A7370"/>
    <w:rsid w:val="007B2C83"/>
    <w:rsid w:val="007D4DA2"/>
    <w:rsid w:val="007E24FD"/>
    <w:rsid w:val="007E47DD"/>
    <w:rsid w:val="007E67D7"/>
    <w:rsid w:val="007E72E0"/>
    <w:rsid w:val="007F4420"/>
    <w:rsid w:val="007F5AFB"/>
    <w:rsid w:val="007F5C1F"/>
    <w:rsid w:val="007F7C17"/>
    <w:rsid w:val="00835EC9"/>
    <w:rsid w:val="00837236"/>
    <w:rsid w:val="00845653"/>
    <w:rsid w:val="008558AE"/>
    <w:rsid w:val="00855B75"/>
    <w:rsid w:val="00865DC7"/>
    <w:rsid w:val="0087296B"/>
    <w:rsid w:val="00873CA9"/>
    <w:rsid w:val="00875D9D"/>
    <w:rsid w:val="008A3C4D"/>
    <w:rsid w:val="008D3CA5"/>
    <w:rsid w:val="008E0118"/>
    <w:rsid w:val="008E392B"/>
    <w:rsid w:val="009046A3"/>
    <w:rsid w:val="00941017"/>
    <w:rsid w:val="0097696C"/>
    <w:rsid w:val="00982409"/>
    <w:rsid w:val="00994C3E"/>
    <w:rsid w:val="009A31B3"/>
    <w:rsid w:val="009B3D85"/>
    <w:rsid w:val="009B6A01"/>
    <w:rsid w:val="009B7A22"/>
    <w:rsid w:val="009C135A"/>
    <w:rsid w:val="009D6C17"/>
    <w:rsid w:val="009F0298"/>
    <w:rsid w:val="009F2DDA"/>
    <w:rsid w:val="00A06A77"/>
    <w:rsid w:val="00A16C9C"/>
    <w:rsid w:val="00A17300"/>
    <w:rsid w:val="00A572C9"/>
    <w:rsid w:val="00A579B2"/>
    <w:rsid w:val="00A72068"/>
    <w:rsid w:val="00A74249"/>
    <w:rsid w:val="00A76429"/>
    <w:rsid w:val="00A80A84"/>
    <w:rsid w:val="00A95D26"/>
    <w:rsid w:val="00AA7078"/>
    <w:rsid w:val="00AB0411"/>
    <w:rsid w:val="00AB3042"/>
    <w:rsid w:val="00AC3C59"/>
    <w:rsid w:val="00AD54D0"/>
    <w:rsid w:val="00AE3540"/>
    <w:rsid w:val="00AE6C71"/>
    <w:rsid w:val="00B13045"/>
    <w:rsid w:val="00B13C8A"/>
    <w:rsid w:val="00B16EEE"/>
    <w:rsid w:val="00B17312"/>
    <w:rsid w:val="00B2284E"/>
    <w:rsid w:val="00B500C0"/>
    <w:rsid w:val="00B56001"/>
    <w:rsid w:val="00B6340B"/>
    <w:rsid w:val="00B72457"/>
    <w:rsid w:val="00B726CD"/>
    <w:rsid w:val="00B8024C"/>
    <w:rsid w:val="00B80C66"/>
    <w:rsid w:val="00B82DE5"/>
    <w:rsid w:val="00B94487"/>
    <w:rsid w:val="00BA032B"/>
    <w:rsid w:val="00BA4D8B"/>
    <w:rsid w:val="00BB007C"/>
    <w:rsid w:val="00BD32AD"/>
    <w:rsid w:val="00BE100E"/>
    <w:rsid w:val="00BE14B9"/>
    <w:rsid w:val="00C01265"/>
    <w:rsid w:val="00C26361"/>
    <w:rsid w:val="00C27316"/>
    <w:rsid w:val="00C31DC5"/>
    <w:rsid w:val="00C4034F"/>
    <w:rsid w:val="00C517BC"/>
    <w:rsid w:val="00C61B2D"/>
    <w:rsid w:val="00C801DA"/>
    <w:rsid w:val="00C85064"/>
    <w:rsid w:val="00CA0B24"/>
    <w:rsid w:val="00CB385F"/>
    <w:rsid w:val="00CB3D47"/>
    <w:rsid w:val="00CB6C74"/>
    <w:rsid w:val="00CC5360"/>
    <w:rsid w:val="00CC6F53"/>
    <w:rsid w:val="00CF6B06"/>
    <w:rsid w:val="00D076F8"/>
    <w:rsid w:val="00D36C92"/>
    <w:rsid w:val="00D519A9"/>
    <w:rsid w:val="00D772A9"/>
    <w:rsid w:val="00D86966"/>
    <w:rsid w:val="00D9098C"/>
    <w:rsid w:val="00DB1B54"/>
    <w:rsid w:val="00DB4793"/>
    <w:rsid w:val="00DB49B6"/>
    <w:rsid w:val="00DE4693"/>
    <w:rsid w:val="00DE48F6"/>
    <w:rsid w:val="00DE5A51"/>
    <w:rsid w:val="00DE693A"/>
    <w:rsid w:val="00E11A54"/>
    <w:rsid w:val="00E151A6"/>
    <w:rsid w:val="00E253B6"/>
    <w:rsid w:val="00E26A6E"/>
    <w:rsid w:val="00E3139C"/>
    <w:rsid w:val="00E32130"/>
    <w:rsid w:val="00E33509"/>
    <w:rsid w:val="00E34695"/>
    <w:rsid w:val="00E42454"/>
    <w:rsid w:val="00E80AF0"/>
    <w:rsid w:val="00E8564E"/>
    <w:rsid w:val="00E90C74"/>
    <w:rsid w:val="00EA2168"/>
    <w:rsid w:val="00EA6BB5"/>
    <w:rsid w:val="00EB5E08"/>
    <w:rsid w:val="00EB758D"/>
    <w:rsid w:val="00EC1A18"/>
    <w:rsid w:val="00EC30E3"/>
    <w:rsid w:val="00ED4DDE"/>
    <w:rsid w:val="00EE2E1F"/>
    <w:rsid w:val="00EE2ED5"/>
    <w:rsid w:val="00EE5A9B"/>
    <w:rsid w:val="00EF10CC"/>
    <w:rsid w:val="00F24B28"/>
    <w:rsid w:val="00F32839"/>
    <w:rsid w:val="00F36374"/>
    <w:rsid w:val="00F376DC"/>
    <w:rsid w:val="00F50C10"/>
    <w:rsid w:val="00F546B2"/>
    <w:rsid w:val="00F578F2"/>
    <w:rsid w:val="00F620BD"/>
    <w:rsid w:val="00F646A7"/>
    <w:rsid w:val="00F67FC3"/>
    <w:rsid w:val="00F7008E"/>
    <w:rsid w:val="00F85821"/>
    <w:rsid w:val="00F96812"/>
    <w:rsid w:val="00FB6187"/>
    <w:rsid w:val="00FC2EC3"/>
    <w:rsid w:val="00FC77A3"/>
    <w:rsid w:val="00FE4EFA"/>
    <w:rsid w:val="00FE70DF"/>
    <w:rsid w:val="00FF6165"/>
    <w:rsid w:val="238B5D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qFormat="1" w:unhideWhenUsed="0" w:uiPriority="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6"/>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2"/>
    <w:qFormat/>
    <w:uiPriority w:val="0"/>
    <w:pPr>
      <w:spacing w:line="360" w:lineRule="auto"/>
      <w:ind w:firstLine="480" w:firstLineChars="200"/>
    </w:pPr>
    <w:rPr>
      <w:rFonts w:ascii="仿宋_GB2312" w:hAnsi="Times New Roman"/>
      <w:sz w:val="24"/>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FollowedHyperlink"/>
    <w:semiHidden/>
    <w:qFormat/>
    <w:uiPriority w:val="0"/>
    <w:rPr>
      <w:color w:val="800080"/>
      <w:u w:val="single"/>
    </w:rPr>
  </w:style>
  <w:style w:type="character" w:styleId="10">
    <w:name w:val="Hyperlink"/>
    <w:basedOn w:val="8"/>
    <w:uiPriority w:val="0"/>
    <w:rPr>
      <w:color w:val="0000FF"/>
      <w:u w:val="single"/>
    </w:rPr>
  </w:style>
  <w:style w:type="paragraph" w:styleId="11">
    <w:name w:val="List Paragraph"/>
    <w:basedOn w:val="1"/>
    <w:qFormat/>
    <w:uiPriority w:val="34"/>
    <w:pPr>
      <w:ind w:firstLine="420" w:firstLineChars="200"/>
    </w:pPr>
  </w:style>
  <w:style w:type="character" w:customStyle="1" w:styleId="12">
    <w:name w:val="纯文本 Char1"/>
    <w:link w:val="3"/>
    <w:qFormat/>
    <w:uiPriority w:val="0"/>
    <w:rPr>
      <w:rFonts w:ascii="仿宋_GB2312" w:hAnsi="Times New Roman"/>
      <w:sz w:val="24"/>
    </w:rPr>
  </w:style>
  <w:style w:type="character" w:customStyle="1" w:styleId="13">
    <w:name w:val="纯文本 Char"/>
    <w:basedOn w:val="8"/>
    <w:semiHidden/>
    <w:qFormat/>
    <w:uiPriority w:val="99"/>
    <w:rPr>
      <w:rFonts w:ascii="宋体" w:hAnsi="Courier New" w:eastAsia="宋体" w:cs="Courier New"/>
      <w:szCs w:val="21"/>
    </w:rPr>
  </w:style>
  <w:style w:type="character" w:customStyle="1" w:styleId="14">
    <w:name w:val="页眉 Char"/>
    <w:basedOn w:val="8"/>
    <w:link w:val="5"/>
    <w:qFormat/>
    <w:uiPriority w:val="99"/>
    <w:rPr>
      <w:sz w:val="18"/>
      <w:szCs w:val="18"/>
    </w:rPr>
  </w:style>
  <w:style w:type="character" w:customStyle="1" w:styleId="15">
    <w:name w:val="页脚 Char"/>
    <w:basedOn w:val="8"/>
    <w:link w:val="4"/>
    <w:uiPriority w:val="99"/>
    <w:rPr>
      <w:sz w:val="18"/>
      <w:szCs w:val="18"/>
    </w:rPr>
  </w:style>
  <w:style w:type="character" w:customStyle="1" w:styleId="16">
    <w:name w:val="标题 3 Char"/>
    <w:basedOn w:val="8"/>
    <w:link w:val="2"/>
    <w:qFormat/>
    <w:uiPriority w:val="9"/>
    <w:rPr>
      <w:rFonts w:ascii="宋体" w:hAnsi="宋体" w:eastAsia="宋体" w:cs="宋体"/>
      <w:b/>
      <w:bCs/>
      <w:kern w:val="0"/>
      <w:sz w:val="27"/>
      <w:szCs w:val="27"/>
    </w:rPr>
  </w:style>
  <w:style w:type="character" w:customStyle="1" w:styleId="17">
    <w:name w:val="fontstyle01"/>
    <w:basedOn w:val="8"/>
    <w:uiPriority w:val="0"/>
    <w:rPr>
      <w:rFonts w:hint="eastAsia" w:ascii="宋体" w:hAnsi="宋体" w:eastAsia="宋体"/>
      <w:color w:val="000000"/>
      <w:sz w:val="24"/>
      <w:szCs w:val="24"/>
    </w:rPr>
  </w:style>
  <w:style w:type="character" w:customStyle="1" w:styleId="18">
    <w:name w:val="fontstyle21"/>
    <w:basedOn w:val="8"/>
    <w:qFormat/>
    <w:uiPriority w:val="0"/>
    <w:rPr>
      <w:rFonts w:hint="default" w:ascii="Times New Roman" w:hAnsi="Times New Roman" w:cs="Times New Roman"/>
      <w:color w:val="000000"/>
      <w:sz w:val="24"/>
      <w:szCs w:val="24"/>
    </w:rPr>
  </w:style>
  <w:style w:type="paragraph" w:customStyle="1" w:styleId="19">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C510A-B703-4D8B-BBF4-690CF87BE731}">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11</Pages>
  <Words>4722</Words>
  <Characters>6670</Characters>
  <Lines>50</Lines>
  <Paragraphs>14</Paragraphs>
  <TotalTime>16</TotalTime>
  <ScaleCrop>false</ScaleCrop>
  <LinksUpToDate>false</LinksUpToDate>
  <CharactersWithSpaces>6852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2022-06-29T03:57:00Z</dcterms:created>
  <dc:creator>NTKO</dc:creator>
  <cp:lastModifiedBy>37046</cp:lastModifiedBy>
  <cp:lastPrinted>2022-06-20T09:19:00Z</cp:lastPrinted>
  <dcterms:modified xsi:type="dcterms:W3CDTF">2022-06-30T14:50:37Z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C2F58542B25D4F0697A12B539CDD423D</vt:lpwstr>
  </property>
</Properties>
</file>