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1"/>
        </w:numPr>
        <w:spacing w:line="500" w:lineRule="exact"/>
        <w:ind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项目名称：“五位一体”随访管理模式下冠心病介入治疗术后危险因素的防治策略</w:t>
      </w:r>
    </w:p>
    <w:p>
      <w:pPr>
        <w:pStyle w:val="4"/>
        <w:numPr>
          <w:ilvl w:val="0"/>
          <w:numId w:val="1"/>
        </w:numPr>
        <w:spacing w:line="500" w:lineRule="exact"/>
        <w:ind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提名者：陕西省卫生健康委员会</w:t>
      </w:r>
    </w:p>
    <w:p>
      <w:pPr>
        <w:pStyle w:val="4"/>
        <w:spacing w:line="500" w:lineRule="exact"/>
        <w:ind w:left="360" w:firstLine="0"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提名意见：</w:t>
      </w:r>
      <w:r>
        <w:rPr>
          <w:rFonts w:hint="eastAsia" w:ascii="仿宋_GB2312" w:hAnsi="仿宋_GB2312" w:eastAsia="仿宋_GB2312" w:cs="仿宋_GB2312"/>
          <w:bCs/>
          <w:sz w:val="32"/>
          <w:szCs w:val="32"/>
          <w:lang w:val="en-US" w:eastAsia="zh-CN"/>
        </w:rPr>
        <w:t>拟</w:t>
      </w:r>
      <w:r>
        <w:rPr>
          <w:rFonts w:hint="eastAsia" w:ascii="仿宋_GB2312" w:hAnsi="仿宋_GB2312" w:eastAsia="仿宋_GB2312" w:cs="仿宋_GB2312"/>
          <w:bCs/>
          <w:sz w:val="32"/>
          <w:szCs w:val="32"/>
        </w:rPr>
        <w:t>提名该项目为陕西省科学技术进步奖</w:t>
      </w:r>
      <w:bookmarkStart w:id="0" w:name="_GoBack"/>
      <w:bookmarkEnd w:id="0"/>
      <w:r>
        <w:rPr>
          <w:rFonts w:hint="eastAsia" w:ascii="仿宋_GB2312" w:hAnsi="仿宋_GB2312" w:eastAsia="仿宋_GB2312" w:cs="仿宋_GB2312"/>
          <w:bCs/>
          <w:sz w:val="32"/>
          <w:szCs w:val="32"/>
        </w:rPr>
        <w:t>。</w:t>
      </w:r>
    </w:p>
    <w:p>
      <w:pPr>
        <w:pStyle w:val="4"/>
        <w:numPr>
          <w:ilvl w:val="0"/>
          <w:numId w:val="1"/>
        </w:numPr>
        <w:spacing w:line="500" w:lineRule="exact"/>
        <w:ind w:firstLineChars="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项目简介：本成果横跨心血管内科临床和基础研究两大领域。冠心病介入治疗术后患者随访管理及危险因素的早期诊治对改善冠心病患者预后具有重要意义。本成果主要针对这一问题而展开。在临床研究方面，我们首次提出并应用“五位一体”随访管理模式对冠心病患者进行随访，不仅报道了C反应蛋白、同型半胱氨酸、糖尿病、分叉病变、支架长度等指标用于冠心病患者的预后评估，而且证实了这种模式可有效控制冠心病患者的危险因素，提高服药依从性，规范冠心病二级预防用药，降低心血管事件的发生率。报道了CT血管造影检查在急重症胸痛诊断中有重要意义和应用价值，更首次报道了基于CT血管造影检查的无创血流储备分数在不同病变程度的冠心病患者中均表现出良好的诊断性能，为冠心病患者早期准确的诊断奠定了理论和实践基础。在基础研究方面，我们分别从缺血再灌注损伤、炎症损伤、脂质代谢等角度对冠心病的发生发展进行了探讨，研究过程中的分子机制，为进一步探讨冠心病的防治靶点提供了理论基础。</w:t>
      </w:r>
    </w:p>
    <w:p>
      <w:pPr>
        <w:pStyle w:val="4"/>
        <w:spacing w:line="500" w:lineRule="exact"/>
        <w:ind w:left="360" w:firstLine="0" w:firstLineChars="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本研究的主要创新点是：（1）首次提出了“五位一体”随访管理模式，即依据国家分级诊疗制度需求而创建的全面随访模式，包括门诊随访、电话随访、微信管理随访、书籍宣教及面对面宣教5个主要部分，对患者进行院外规范化二级预防，而且证实了这种模式可有效控制冠心病患者的危险因素，提高服药依从性，规范冠心病二级预防用药，降低心血管事件的发生率；（2）发现了C反应蛋白、同型半胱氨酸、糖尿病、分叉病变、支架长度、胆红素、阴离子间隙等指标是冠心病患者介入治疗术后支架内再狭窄的危险因素；（3）阐明了CT血管造影在急重症胸痛诊断中有重要的实际应用价值，可以作为急重症胸痛的重要检查手段；（4）完善了基于CT血管造影的血流储备分数在不同病变程度的冠心病患者中均表现出良好的诊断性能，可作为冠心病患者筛查病变特异性缺血的有效方法；（5）说明了GSKIP通过抑制GSK-3β、增强Nrf2激活，Gossypin通过调节氧化应激、炎症和肠道菌群等发挥抗缺血再灌注损伤的作用。</w:t>
      </w:r>
    </w:p>
    <w:p>
      <w:pPr>
        <w:pStyle w:val="4"/>
        <w:spacing w:line="500" w:lineRule="exact"/>
        <w:ind w:left="360" w:firstLine="0"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研究工作完整，系统性强，经过16年的不懈努力，最终研究成果以论文形式在国家高水平的学术期刊上发表有重要价值者97篇，其中SCI论文26篇，其中影响因子≥3分的论文14篇，出版有著作2部，培养硕士研究生10名，多次参加学术交流，收到国内外同行一致好评，受到广大患者和医务人员的肯定，能够推动本学科领域的发展，具有很强的基础理论研究和临床应用推广价值。</w:t>
      </w:r>
    </w:p>
    <w:p>
      <w:pPr>
        <w:pStyle w:val="4"/>
        <w:numPr>
          <w:ilvl w:val="0"/>
          <w:numId w:val="1"/>
        </w:numPr>
        <w:spacing w:line="500" w:lineRule="exact"/>
        <w:ind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客观评价：冠状动脉粥样硬化性心脏病的发病率逐年上升，是我国患者死亡的主要病因之一。经皮冠状动脉介入治疗术是血运重建的重要方法及治疗急性冠脉综合征患者的有效措施。然而，术后冠状动脉内再狭窄和支架内血栓及再发心脏不良事件等高风险却仍然存在。这一现象提示加强冠心病介入治疗术后患者管理、寻找不良预后的危险因素、寻求早期诊断的方法、探究发生发展的细胞分子机制，才能改善患者的预后。项目组首次提出“五位一体”随访管理模式，即依据国家分级诊疗制度需求而创建的全面随访模式，包括门诊随访、电话随访、微信管理随访、书籍宣教及面对面宣教5个主要部分，对患者进行院外规范化二级预防，结合临床、影像、细胞生物学等多学科，开展了““五位一体”随访管理模式下冠心病介入治疗术后危险因素的防治策略”研究，发表高水平论文97篇，其中SCI论文26篇，其中影响因子≥3分的论文14篇，出版著作2部，培养硕士研究生10名。该项目取得了多项创新性成果。不仅在患者随访管理模式上创新，而且定义了冠心病术后多种危险因素、奠定了CT血管造影及其无创血流储备分数在冠心病早期准确诊断中的地位、报道了冠心病发生发展过程中的多种分子机制。该项目的开展为冠心病介入治疗术后危险因素的防治提供了基础理论支持和临床实践指导。</w:t>
      </w:r>
    </w:p>
    <w:p>
      <w:pPr>
        <w:pStyle w:val="4"/>
        <w:numPr>
          <w:ilvl w:val="0"/>
          <w:numId w:val="1"/>
        </w:numPr>
        <w:spacing w:line="500" w:lineRule="exact"/>
        <w:ind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应用情况：本研究首次提出的“五位一体”随访管理模式在陕西省人民医院推广使用，发现这种随访管理模式可有效控制冠心病患者的危险因素，提高服药依从性，规范冠心病二级预防用药，降低心血管事件的发生率，受到广大患者和医务人员的好评；本研究报道的基于冠状动脉CT血管造影的血流准备分数在陕西省人民医院、四川省华西医院推广使用，发现这种检查可早期而准确地对冠心病进行诊断，具有广阔的推广应用价值。</w:t>
      </w:r>
    </w:p>
    <w:p>
      <w:pPr>
        <w:pStyle w:val="4"/>
        <w:numPr>
          <w:ilvl w:val="0"/>
          <w:numId w:val="1"/>
        </w:numPr>
        <w:spacing w:line="500" w:lineRule="exact"/>
        <w:ind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主要知识产权和标准规范等目录：</w:t>
      </w:r>
    </w:p>
    <w:p>
      <w:pPr>
        <w:pStyle w:val="4"/>
        <w:numPr>
          <w:ilvl w:val="0"/>
          <w:numId w:val="2"/>
        </w:numPr>
        <w:spacing w:line="500" w:lineRule="exact"/>
        <w:ind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冠心病介入治疗术后规范化管理/程功主编.—北京：北京大学医学出版社，2</w:t>
      </w:r>
      <w:r>
        <w:rPr>
          <w:rFonts w:ascii="仿宋_GB2312" w:hAnsi="仿宋_GB2312" w:eastAsia="仿宋_GB2312" w:cs="仿宋_GB2312"/>
          <w:bCs/>
          <w:sz w:val="32"/>
          <w:szCs w:val="32"/>
        </w:rPr>
        <w:t>021.9</w:t>
      </w:r>
    </w:p>
    <w:p>
      <w:pPr>
        <w:pStyle w:val="4"/>
        <w:numPr>
          <w:ilvl w:val="0"/>
          <w:numId w:val="2"/>
        </w:numPr>
        <w:spacing w:line="500" w:lineRule="exact"/>
        <w:ind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支架人生的自我管理/程功主编.—西安：西安交通大学出版社，2</w:t>
      </w:r>
      <w:r>
        <w:rPr>
          <w:rFonts w:ascii="仿宋_GB2312" w:hAnsi="仿宋_GB2312" w:eastAsia="仿宋_GB2312" w:cs="仿宋_GB2312"/>
          <w:bCs/>
          <w:sz w:val="32"/>
          <w:szCs w:val="32"/>
        </w:rPr>
        <w:t>017.5</w:t>
      </w:r>
    </w:p>
    <w:p>
      <w:pPr>
        <w:pStyle w:val="4"/>
        <w:numPr>
          <w:ilvl w:val="0"/>
          <w:numId w:val="2"/>
        </w:numPr>
        <w:spacing w:line="500" w:lineRule="exact"/>
        <w:ind w:firstLineChars="0"/>
        <w:rPr>
          <w:rFonts w:ascii="仿宋_GB2312" w:hAnsi="仿宋_GB2312" w:eastAsia="仿宋_GB2312" w:cs="仿宋_GB2312"/>
          <w:bCs/>
          <w:sz w:val="32"/>
          <w:szCs w:val="32"/>
        </w:rPr>
      </w:pPr>
      <w:r>
        <w:rPr>
          <w:rFonts w:ascii="仿宋_GB2312" w:hAnsi="仿宋_GB2312" w:eastAsia="仿宋_GB2312" w:cs="仿宋_GB2312"/>
          <w:bCs/>
          <w:sz w:val="32"/>
          <w:szCs w:val="32"/>
        </w:rPr>
        <w:t>You P, Cheng Z, He X, Deng J, Diao J, Chen H, Cheng G. Lin28a protects against diabetic cardiomyopathy through Mst1 inhibition. J Cell Physiol. 2020 May;235(5):4455-4465.</w:t>
      </w:r>
    </w:p>
    <w:p>
      <w:pPr>
        <w:pStyle w:val="4"/>
        <w:numPr>
          <w:ilvl w:val="0"/>
          <w:numId w:val="2"/>
        </w:numPr>
        <w:spacing w:line="500" w:lineRule="exact"/>
        <w:ind w:firstLineChars="0"/>
        <w:rPr>
          <w:rFonts w:ascii="仿宋_GB2312" w:hAnsi="仿宋_GB2312" w:eastAsia="仿宋_GB2312" w:cs="仿宋_GB2312"/>
          <w:bCs/>
          <w:sz w:val="32"/>
          <w:szCs w:val="32"/>
        </w:rPr>
      </w:pPr>
      <w:r>
        <w:rPr>
          <w:rFonts w:ascii="仿宋_GB2312" w:hAnsi="仿宋_GB2312" w:eastAsia="仿宋_GB2312" w:cs="仿宋_GB2312"/>
          <w:bCs/>
          <w:sz w:val="32"/>
          <w:szCs w:val="32"/>
        </w:rPr>
        <w:t>Cui Q, Yan L. Tripartite motif-containing protein 16 protects against myocardial ischemia/reperfusion injury by affecting the Keap1/Nrf2 axis. Cell Tissue Res. 2021 Nov;386(2):349-363.</w:t>
      </w:r>
    </w:p>
    <w:p>
      <w:pPr>
        <w:pStyle w:val="4"/>
        <w:numPr>
          <w:ilvl w:val="0"/>
          <w:numId w:val="2"/>
        </w:numPr>
        <w:spacing w:line="500" w:lineRule="exact"/>
        <w:ind w:firstLineChars="0"/>
        <w:rPr>
          <w:rFonts w:ascii="仿宋_GB2312" w:hAnsi="仿宋_GB2312" w:eastAsia="仿宋_GB2312" w:cs="仿宋_GB2312"/>
          <w:bCs/>
          <w:sz w:val="32"/>
          <w:szCs w:val="32"/>
        </w:rPr>
      </w:pPr>
      <w:r>
        <w:rPr>
          <w:rFonts w:ascii="仿宋_GB2312" w:hAnsi="仿宋_GB2312" w:eastAsia="仿宋_GB2312" w:cs="仿宋_GB2312"/>
          <w:bCs/>
          <w:sz w:val="32"/>
          <w:szCs w:val="32"/>
        </w:rPr>
        <w:t>Cheng G, Wu J, Han W, Sun C. F463L increases the potential of dofetilide on human ether-a-go-go-related gene (hERG) channels. Microsc Res Tech. 2018 Jun;81(6):663-668.</w:t>
      </w:r>
    </w:p>
    <w:p>
      <w:pPr>
        <w:pStyle w:val="4"/>
        <w:numPr>
          <w:ilvl w:val="0"/>
          <w:numId w:val="2"/>
        </w:numPr>
        <w:spacing w:line="500" w:lineRule="exact"/>
        <w:ind w:firstLineChars="0"/>
        <w:rPr>
          <w:rFonts w:ascii="仿宋_GB2312" w:hAnsi="仿宋_GB2312" w:eastAsia="仿宋_GB2312" w:cs="仿宋_GB2312"/>
          <w:bCs/>
          <w:sz w:val="32"/>
          <w:szCs w:val="32"/>
        </w:rPr>
      </w:pPr>
      <w:r>
        <w:rPr>
          <w:rFonts w:ascii="仿宋_GB2312" w:hAnsi="仿宋_GB2312" w:eastAsia="仿宋_GB2312" w:cs="仿宋_GB2312"/>
          <w:bCs/>
          <w:sz w:val="32"/>
          <w:szCs w:val="32"/>
        </w:rPr>
        <w:t>Cheng G, Shan XF, Wang XL, Dong WW, Li Z, Liu XH, Zhang W, Xing K, Chang FJ. Endothelial damage effects of circulating microparticles from patients with stable angina are reduced by aspirin through ERK/p38 MAPKs pathways. Cardiovasc Ther. 2017 Aug;35(4).</w:t>
      </w:r>
    </w:p>
    <w:p>
      <w:pPr>
        <w:pStyle w:val="4"/>
        <w:numPr>
          <w:ilvl w:val="0"/>
          <w:numId w:val="2"/>
        </w:numPr>
        <w:spacing w:line="500" w:lineRule="exact"/>
        <w:ind w:firstLineChars="0"/>
        <w:rPr>
          <w:rFonts w:ascii="仿宋_GB2312" w:hAnsi="仿宋_GB2312" w:eastAsia="仿宋_GB2312" w:cs="仿宋_GB2312"/>
          <w:bCs/>
          <w:sz w:val="32"/>
          <w:szCs w:val="32"/>
        </w:rPr>
      </w:pPr>
      <w:r>
        <w:rPr>
          <w:rFonts w:ascii="仿宋_GB2312" w:hAnsi="仿宋_GB2312" w:eastAsia="仿宋_GB2312" w:cs="仿宋_GB2312"/>
          <w:bCs/>
          <w:sz w:val="32"/>
          <w:szCs w:val="32"/>
        </w:rPr>
        <w:t>Cheng G, Shan XF, Wang XL, Dong WW, Li Z, Liu XH, Zhang W, Xing K, Chang FJ. Endothelial damage effects of circulating microparticles from patients with stable angina are reduced by aspirin through ERK/p38 MAPKs pathways. Cardiovasc Ther. 2017 Aug;35(4).</w:t>
      </w:r>
    </w:p>
    <w:p>
      <w:pPr>
        <w:pStyle w:val="4"/>
        <w:numPr>
          <w:ilvl w:val="0"/>
          <w:numId w:val="2"/>
        </w:numPr>
        <w:spacing w:line="500" w:lineRule="exact"/>
        <w:ind w:firstLineChars="0"/>
        <w:rPr>
          <w:rFonts w:ascii="仿宋_GB2312" w:hAnsi="仿宋_GB2312" w:eastAsia="仿宋_GB2312" w:cs="仿宋_GB2312"/>
          <w:bCs/>
          <w:sz w:val="32"/>
          <w:szCs w:val="32"/>
        </w:rPr>
      </w:pPr>
      <w:r>
        <w:rPr>
          <w:rFonts w:ascii="仿宋_GB2312" w:hAnsi="仿宋_GB2312" w:eastAsia="仿宋_GB2312" w:cs="仿宋_GB2312"/>
          <w:bCs/>
          <w:sz w:val="32"/>
          <w:szCs w:val="32"/>
        </w:rPr>
        <w:t>Yan L, Cheng G, Yang G. GSKIP protects cardiomyocytes from hypoxia/reoxygenation-induced injury by enhancing Nrf2 activation via GSK-3β inhibition. Biochem Biophys Res Commun. 2020 Oct 29;532(1):68-75.</w:t>
      </w:r>
    </w:p>
    <w:p>
      <w:pPr>
        <w:pStyle w:val="4"/>
        <w:numPr>
          <w:ilvl w:val="0"/>
          <w:numId w:val="2"/>
        </w:numPr>
        <w:spacing w:line="500" w:lineRule="exact"/>
        <w:ind w:firstLineChars="0"/>
        <w:rPr>
          <w:rFonts w:ascii="仿宋_GB2312" w:hAnsi="仿宋_GB2312" w:eastAsia="仿宋_GB2312" w:cs="仿宋_GB2312"/>
          <w:bCs/>
          <w:sz w:val="32"/>
          <w:szCs w:val="32"/>
        </w:rPr>
      </w:pPr>
      <w:r>
        <w:rPr>
          <w:rFonts w:ascii="仿宋_GB2312" w:hAnsi="仿宋_GB2312" w:eastAsia="仿宋_GB2312" w:cs="仿宋_GB2312"/>
          <w:bCs/>
          <w:sz w:val="32"/>
          <w:szCs w:val="32"/>
        </w:rPr>
        <w:t>Diao J, Zhao H, You P, You H, Wu H, Shou X, Cheng G. Rosmarinic acid ameliorated cardiac dysfunction and mitochondrial injury in diabetic cardiomyopathy mice via activation of the SIRT1/PGC-1α pathway. Biochem Biophys Res Commun. 2021 Mar 26;546:29-34.</w:t>
      </w:r>
    </w:p>
    <w:p>
      <w:pPr>
        <w:pStyle w:val="4"/>
        <w:numPr>
          <w:ilvl w:val="0"/>
          <w:numId w:val="2"/>
        </w:numPr>
        <w:spacing w:line="500" w:lineRule="exact"/>
        <w:ind w:firstLineChars="0"/>
        <w:rPr>
          <w:rFonts w:ascii="仿宋_GB2312" w:hAnsi="仿宋_GB2312" w:eastAsia="仿宋_GB2312" w:cs="仿宋_GB2312"/>
          <w:bCs/>
          <w:sz w:val="32"/>
          <w:szCs w:val="32"/>
        </w:rPr>
      </w:pPr>
      <w:r>
        <w:rPr>
          <w:rFonts w:ascii="仿宋_GB2312" w:hAnsi="仿宋_GB2312" w:eastAsia="仿宋_GB2312" w:cs="仿宋_GB2312"/>
          <w:bCs/>
          <w:sz w:val="32"/>
          <w:szCs w:val="32"/>
        </w:rPr>
        <w:t>Yan L, Cheng G, Yang G. GSKIP protects cardiomyocytes from hypoxia/reoxygenation-induced injury by enhancing Nrf2 activation via GSK-3β inhibition. Biochem Biophys Res Commun. 2020 Oct 29;532(1):68-75.</w:t>
      </w:r>
    </w:p>
    <w:p>
      <w:pPr>
        <w:pStyle w:val="4"/>
        <w:numPr>
          <w:ilvl w:val="0"/>
          <w:numId w:val="1"/>
        </w:numPr>
        <w:spacing w:line="500" w:lineRule="exact"/>
        <w:ind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主要完成人情况：</w:t>
      </w:r>
    </w:p>
    <w:p>
      <w:pPr>
        <w:pStyle w:val="4"/>
        <w:numPr>
          <w:ilvl w:val="0"/>
          <w:numId w:val="3"/>
        </w:numPr>
        <w:spacing w:line="500" w:lineRule="exact"/>
        <w:ind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姓名：程功、排名：1、行政职务：副主任、技术职称：主任医师、工作单位：陕西省人民医院、完成单位：陕西省人民医院、对本项目贡献：项目主要负责人，创新点（1）、（2）和（5）的主要贡献人，首次提出“五位一体”随访管理模式，投入工作量占全部工作量的3</w:t>
      </w:r>
      <w:r>
        <w:rPr>
          <w:rFonts w:ascii="仿宋_GB2312" w:hAnsi="仿宋_GB2312" w:eastAsia="仿宋_GB2312" w:cs="仿宋_GB2312"/>
          <w:bCs/>
          <w:sz w:val="32"/>
          <w:szCs w:val="32"/>
        </w:rPr>
        <w:t>5</w:t>
      </w:r>
      <w:r>
        <w:rPr>
          <w:rFonts w:hint="eastAsia" w:ascii="仿宋_GB2312" w:hAnsi="仿宋_GB2312" w:eastAsia="仿宋_GB2312" w:cs="仿宋_GB2312"/>
          <w:bCs/>
          <w:sz w:val="32"/>
          <w:szCs w:val="32"/>
        </w:rPr>
        <w:t>%。</w:t>
      </w:r>
    </w:p>
    <w:p>
      <w:pPr>
        <w:pStyle w:val="4"/>
        <w:numPr>
          <w:ilvl w:val="0"/>
          <w:numId w:val="3"/>
        </w:numPr>
        <w:ind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姓名：董梦雅、排名：</w:t>
      </w:r>
      <w:r>
        <w:rPr>
          <w:rFonts w:ascii="仿宋_GB2312" w:hAnsi="仿宋_GB2312" w:eastAsia="仿宋_GB2312" w:cs="仿宋_GB2312"/>
          <w:bCs/>
          <w:sz w:val="32"/>
          <w:szCs w:val="32"/>
        </w:rPr>
        <w:t>2</w:t>
      </w:r>
      <w:r>
        <w:rPr>
          <w:rFonts w:hint="eastAsia" w:ascii="仿宋_GB2312" w:hAnsi="仿宋_GB2312" w:eastAsia="仿宋_GB2312" w:cs="仿宋_GB2312"/>
          <w:bCs/>
          <w:sz w:val="32"/>
          <w:szCs w:val="32"/>
        </w:rPr>
        <w:t>、行政职务：无、技术职称：主治医师、工作单位：陕西省人民医院、完成单位：陕西省人民医院、对本项目贡献：创新点（</w:t>
      </w:r>
      <w:r>
        <w:rPr>
          <w:rFonts w:ascii="仿宋_GB2312" w:hAnsi="仿宋_GB2312" w:eastAsia="仿宋_GB2312" w:cs="仿宋_GB2312"/>
          <w:bCs/>
          <w:sz w:val="32"/>
          <w:szCs w:val="32"/>
        </w:rPr>
        <w:t>4</w:t>
      </w:r>
      <w:r>
        <w:rPr>
          <w:rFonts w:hint="eastAsia" w:ascii="仿宋_GB2312" w:hAnsi="仿宋_GB2312" w:eastAsia="仿宋_GB2312" w:cs="仿宋_GB2312"/>
          <w:bCs/>
          <w:sz w:val="32"/>
          <w:szCs w:val="32"/>
        </w:rPr>
        <w:t>）的主要贡献人，（2）和（5）的次要贡献人，主要负责完成成果总结工作，投入工作量占全部工作量的15%。</w:t>
      </w:r>
    </w:p>
    <w:p>
      <w:pPr>
        <w:pStyle w:val="4"/>
        <w:numPr>
          <w:ilvl w:val="0"/>
          <w:numId w:val="3"/>
        </w:numPr>
        <w:ind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姓名：闫莉、排名：3、行政职务：无、技术职称：主治医师、工作单位：陕西省人民医院、完成单位：陕西省人民医院、对本项目贡献：创新点（2）和（5）的次要贡献人，投入工作量占全部工作量的1</w:t>
      </w:r>
      <w:r>
        <w:rPr>
          <w:rFonts w:ascii="仿宋_GB2312" w:hAnsi="仿宋_GB2312" w:eastAsia="仿宋_GB2312" w:cs="仿宋_GB2312"/>
          <w:bCs/>
          <w:sz w:val="32"/>
          <w:szCs w:val="32"/>
        </w:rPr>
        <w:t>0</w:t>
      </w:r>
      <w:r>
        <w:rPr>
          <w:rFonts w:hint="eastAsia" w:ascii="仿宋_GB2312" w:hAnsi="仿宋_GB2312" w:eastAsia="仿宋_GB2312" w:cs="仿宋_GB2312"/>
          <w:bCs/>
          <w:sz w:val="32"/>
          <w:szCs w:val="32"/>
        </w:rPr>
        <w:t>%。</w:t>
      </w:r>
    </w:p>
    <w:p>
      <w:pPr>
        <w:pStyle w:val="4"/>
        <w:numPr>
          <w:ilvl w:val="0"/>
          <w:numId w:val="3"/>
        </w:numPr>
        <w:spacing w:line="500" w:lineRule="exact"/>
        <w:ind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姓名：常凤军、排名：</w:t>
      </w:r>
      <w:r>
        <w:rPr>
          <w:rFonts w:ascii="仿宋_GB2312" w:hAnsi="仿宋_GB2312" w:eastAsia="仿宋_GB2312" w:cs="仿宋_GB2312"/>
          <w:bCs/>
          <w:sz w:val="32"/>
          <w:szCs w:val="32"/>
        </w:rPr>
        <w:t>4</w:t>
      </w:r>
      <w:r>
        <w:rPr>
          <w:rFonts w:hint="eastAsia" w:ascii="仿宋_GB2312" w:hAnsi="仿宋_GB2312" w:eastAsia="仿宋_GB2312" w:cs="仿宋_GB2312"/>
          <w:bCs/>
          <w:sz w:val="32"/>
          <w:szCs w:val="32"/>
        </w:rPr>
        <w:t>、行政职务：无、技术职称：主治医师、工作单位：陕西省人民医院、完成单位：陕西省人民医院、对本项目贡献：创新点（2）和（5）的次要贡献人，投入工作量占全部工作量的1</w:t>
      </w:r>
      <w:r>
        <w:rPr>
          <w:rFonts w:ascii="仿宋_GB2312" w:hAnsi="仿宋_GB2312" w:eastAsia="仿宋_GB2312" w:cs="仿宋_GB2312"/>
          <w:bCs/>
          <w:sz w:val="32"/>
          <w:szCs w:val="32"/>
        </w:rPr>
        <w:t>0</w:t>
      </w:r>
      <w:r>
        <w:rPr>
          <w:rFonts w:hint="eastAsia" w:ascii="仿宋_GB2312" w:hAnsi="仿宋_GB2312" w:eastAsia="仿宋_GB2312" w:cs="仿宋_GB2312"/>
          <w:bCs/>
          <w:sz w:val="32"/>
          <w:szCs w:val="32"/>
        </w:rPr>
        <w:t>%。</w:t>
      </w:r>
    </w:p>
    <w:p>
      <w:pPr>
        <w:pStyle w:val="4"/>
        <w:numPr>
          <w:ilvl w:val="0"/>
          <w:numId w:val="3"/>
        </w:numPr>
        <w:spacing w:line="500" w:lineRule="exact"/>
        <w:ind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姓名：徐晨博、排名：5、行政职务：无、技术职称：住院医师、工作单位：西安交通大学第一附属医院、完成单位：西安交通大学第一附属医院、对本项目贡献：创新点（2）的次要贡献人，投入工作量占全部工作量的1</w:t>
      </w:r>
      <w:r>
        <w:rPr>
          <w:rFonts w:ascii="仿宋_GB2312" w:hAnsi="仿宋_GB2312" w:eastAsia="仿宋_GB2312" w:cs="仿宋_GB2312"/>
          <w:bCs/>
          <w:sz w:val="32"/>
          <w:szCs w:val="32"/>
        </w:rPr>
        <w:t>0</w:t>
      </w:r>
      <w:r>
        <w:rPr>
          <w:rFonts w:hint="eastAsia" w:ascii="仿宋_GB2312" w:hAnsi="仿宋_GB2312" w:eastAsia="仿宋_GB2312" w:cs="仿宋_GB2312"/>
          <w:bCs/>
          <w:sz w:val="32"/>
          <w:szCs w:val="32"/>
        </w:rPr>
        <w:t>%。</w:t>
      </w:r>
    </w:p>
    <w:p>
      <w:pPr>
        <w:pStyle w:val="4"/>
        <w:numPr>
          <w:ilvl w:val="0"/>
          <w:numId w:val="3"/>
        </w:numPr>
        <w:spacing w:line="500" w:lineRule="exact"/>
        <w:ind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姓名：闵智乾、排名：</w:t>
      </w:r>
      <w:r>
        <w:rPr>
          <w:rFonts w:ascii="仿宋_GB2312" w:hAnsi="仿宋_GB2312" w:eastAsia="仿宋_GB2312" w:cs="仿宋_GB2312"/>
          <w:bCs/>
          <w:sz w:val="32"/>
          <w:szCs w:val="32"/>
        </w:rPr>
        <w:t>6</w:t>
      </w:r>
      <w:r>
        <w:rPr>
          <w:rFonts w:hint="eastAsia" w:ascii="仿宋_GB2312" w:hAnsi="仿宋_GB2312" w:eastAsia="仿宋_GB2312" w:cs="仿宋_GB2312"/>
          <w:bCs/>
          <w:sz w:val="32"/>
          <w:szCs w:val="32"/>
        </w:rPr>
        <w:t>、行政职务：无、技术职称： 主任医师、工作单位：陕西省人民医院、完成单位：陕西省人民医院、对本项目贡献：创新点（</w:t>
      </w:r>
      <w:r>
        <w:rPr>
          <w:rFonts w:ascii="仿宋_GB2312" w:hAnsi="仿宋_GB2312" w:eastAsia="仿宋_GB2312" w:cs="仿宋_GB2312"/>
          <w:bCs/>
          <w:sz w:val="32"/>
          <w:szCs w:val="32"/>
        </w:rPr>
        <w:t>3</w:t>
      </w:r>
      <w:r>
        <w:rPr>
          <w:rFonts w:hint="eastAsia" w:ascii="仿宋_GB2312" w:hAnsi="仿宋_GB2312" w:eastAsia="仿宋_GB2312" w:cs="仿宋_GB2312"/>
          <w:bCs/>
          <w:sz w:val="32"/>
          <w:szCs w:val="32"/>
        </w:rPr>
        <w:t>）的主要贡献人，投入工作量占全部工作量的1</w:t>
      </w:r>
      <w:r>
        <w:rPr>
          <w:rFonts w:ascii="仿宋_GB2312" w:hAnsi="仿宋_GB2312" w:eastAsia="仿宋_GB2312" w:cs="仿宋_GB2312"/>
          <w:bCs/>
          <w:sz w:val="32"/>
          <w:szCs w:val="32"/>
        </w:rPr>
        <w:t>0</w:t>
      </w:r>
      <w:r>
        <w:rPr>
          <w:rFonts w:hint="eastAsia" w:ascii="仿宋_GB2312" w:hAnsi="仿宋_GB2312" w:eastAsia="仿宋_GB2312" w:cs="仿宋_GB2312"/>
          <w:bCs/>
          <w:sz w:val="32"/>
          <w:szCs w:val="32"/>
        </w:rPr>
        <w:t>%。</w:t>
      </w:r>
    </w:p>
    <w:p>
      <w:pPr>
        <w:pStyle w:val="4"/>
        <w:numPr>
          <w:ilvl w:val="0"/>
          <w:numId w:val="3"/>
        </w:numPr>
        <w:ind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姓名：夏聪聪、排名：</w:t>
      </w:r>
      <w:r>
        <w:rPr>
          <w:rFonts w:ascii="仿宋_GB2312" w:hAnsi="仿宋_GB2312" w:eastAsia="仿宋_GB2312" w:cs="仿宋_GB2312"/>
          <w:bCs/>
          <w:sz w:val="32"/>
          <w:szCs w:val="32"/>
        </w:rPr>
        <w:t>7</w:t>
      </w:r>
      <w:r>
        <w:rPr>
          <w:rFonts w:hint="eastAsia" w:ascii="仿宋_GB2312" w:hAnsi="仿宋_GB2312" w:eastAsia="仿宋_GB2312" w:cs="仿宋_GB2312"/>
          <w:bCs/>
          <w:sz w:val="32"/>
          <w:szCs w:val="32"/>
        </w:rPr>
        <w:t>、行政职务：无、技术职称：助理研究员、工作单位：西安交通大学、完成单位：西安交通大学、对本项目贡献：创新点（5）的次要贡献人，投入工作量占全部工作量的5%。</w:t>
      </w:r>
    </w:p>
    <w:p>
      <w:pPr>
        <w:pStyle w:val="4"/>
        <w:numPr>
          <w:ilvl w:val="0"/>
          <w:numId w:val="3"/>
        </w:numPr>
        <w:ind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姓名：黄晓燕、排名：8、行政职务：无、技术职称： 主管技师、工作单位：陕西省人民医院、完成单位：陕西省人民医院、对本项目贡献：创新点（</w:t>
      </w:r>
      <w:r>
        <w:rPr>
          <w:rFonts w:ascii="仿宋_GB2312" w:hAnsi="仿宋_GB2312" w:eastAsia="仿宋_GB2312" w:cs="仿宋_GB2312"/>
          <w:bCs/>
          <w:sz w:val="32"/>
          <w:szCs w:val="32"/>
        </w:rPr>
        <w:t>2</w:t>
      </w:r>
      <w:r>
        <w:rPr>
          <w:rFonts w:hint="eastAsia" w:ascii="仿宋_GB2312" w:hAnsi="仿宋_GB2312" w:eastAsia="仿宋_GB2312" w:cs="仿宋_GB2312"/>
          <w:bCs/>
          <w:sz w:val="32"/>
          <w:szCs w:val="32"/>
        </w:rPr>
        <w:t>）的次要贡献人，投入工作量占全部工作量的5%。</w:t>
      </w:r>
    </w:p>
    <w:p>
      <w:pPr>
        <w:pStyle w:val="4"/>
        <w:numPr>
          <w:ilvl w:val="0"/>
          <w:numId w:val="1"/>
        </w:numPr>
        <w:spacing w:line="500" w:lineRule="exact"/>
        <w:ind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主要完成单位：陕西省人民医院</w:t>
      </w:r>
    </w:p>
    <w:p>
      <w:pPr>
        <w:pStyle w:val="4"/>
        <w:spacing w:line="500" w:lineRule="exact"/>
        <w:ind w:left="360" w:firstLine="0"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创新推广贡献：本成果绝大部分在陕西省人民医院心血管内二科完成。包括应用“五位一体”随访管理模式对冠心病患者进行随访和管理；收集冠心病患者的临床资料，进行冠心病不良预后危险因素、CT血管造影和基于其的血流储备分数在冠心病早期诊断中的应用价值的研究；收集冠心病患者的临床标本，进行动物和细胞实验，进行冠心病发病机制的探究。</w:t>
      </w:r>
    </w:p>
    <w:p>
      <w:pPr>
        <w:pStyle w:val="4"/>
        <w:numPr>
          <w:ilvl w:val="0"/>
          <w:numId w:val="1"/>
        </w:numPr>
        <w:spacing w:line="500" w:lineRule="exact"/>
        <w:ind w:firstLineChars="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完成人合作关系说明：程功与其余完成人合作完成所有创新点，董梦雅与徐晨博合作完成创新点（2）中冠心病部分危险因素的探究。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3C1DB3"/>
    <w:multiLevelType w:val="multilevel"/>
    <w:tmpl w:val="173C1DB3"/>
    <w:lvl w:ilvl="0" w:tentative="0">
      <w:start w:val="1"/>
      <w:numFmt w:val="decimal"/>
      <w:lvlText w:val="[%1]"/>
      <w:lvlJc w:val="left"/>
      <w:pPr>
        <w:ind w:left="780" w:hanging="420"/>
      </w:pPr>
      <w:rPr>
        <w:rFonts w:hint="eastAsia"/>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
    <w:nsid w:val="441B7619"/>
    <w:multiLevelType w:val="multilevel"/>
    <w:tmpl w:val="441B7619"/>
    <w:lvl w:ilvl="0" w:tentative="0">
      <w:start w:val="1"/>
      <w:numFmt w:val="decimal"/>
      <w:lvlText w:val="[%1]"/>
      <w:lvlJc w:val="left"/>
      <w:pPr>
        <w:ind w:left="780" w:hanging="420"/>
      </w:pPr>
      <w:rPr>
        <w:rFonts w:hint="eastAsia"/>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7DB15111"/>
    <w:multiLevelType w:val="multilevel"/>
    <w:tmpl w:val="7DB1511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3E0"/>
    <w:rsid w:val="000E75AB"/>
    <w:rsid w:val="00173DA0"/>
    <w:rsid w:val="00197F08"/>
    <w:rsid w:val="001E20CF"/>
    <w:rsid w:val="002309EF"/>
    <w:rsid w:val="00260A24"/>
    <w:rsid w:val="003756F3"/>
    <w:rsid w:val="00516A43"/>
    <w:rsid w:val="005258C7"/>
    <w:rsid w:val="00642BEF"/>
    <w:rsid w:val="0069640C"/>
    <w:rsid w:val="007464B4"/>
    <w:rsid w:val="007523E0"/>
    <w:rsid w:val="009554C5"/>
    <w:rsid w:val="00A00358"/>
    <w:rsid w:val="00A214AE"/>
    <w:rsid w:val="00A225F6"/>
    <w:rsid w:val="00B1385B"/>
    <w:rsid w:val="00DF1EE8"/>
    <w:rsid w:val="00F2106F"/>
    <w:rsid w:val="00F23CD7"/>
    <w:rsid w:val="09F70B24"/>
    <w:rsid w:val="0A553ABE"/>
    <w:rsid w:val="19E03917"/>
    <w:rsid w:val="19FB3A8A"/>
    <w:rsid w:val="33682D02"/>
    <w:rsid w:val="3D6A212E"/>
    <w:rsid w:val="3E4C4AA9"/>
    <w:rsid w:val="44577E97"/>
    <w:rsid w:val="4957333B"/>
    <w:rsid w:val="4B427832"/>
    <w:rsid w:val="5D9831C1"/>
    <w:rsid w:val="5DA04C6F"/>
    <w:rsid w:val="66DD4D2A"/>
    <w:rsid w:val="71660871"/>
    <w:rsid w:val="72DF1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775</Words>
  <Characters>4418</Characters>
  <Lines>36</Lines>
  <Paragraphs>10</Paragraphs>
  <TotalTime>0</TotalTime>
  <ScaleCrop>false</ScaleCrop>
  <LinksUpToDate>false</LinksUpToDate>
  <CharactersWithSpaces>5183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2022-07-07T07:40:00Z</dcterms:created>
  <dc:creator>LiJian</dc:creator>
  <cp:lastModifiedBy>陕西省卫生健康委员会</cp:lastModifiedBy>
  <dcterms:modified xsi:type="dcterms:W3CDTF">2022-07-07T08:41:17Z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