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项目名称</w:t>
      </w:r>
      <w:r>
        <w:rPr>
          <w:rFonts w:hint="eastAsia" w:ascii="仿宋_GB2312" w:hAnsi="仿宋_GB2312" w:eastAsia="仿宋_GB2312" w:cs="仿宋_GB2312"/>
          <w:bCs/>
          <w:sz w:val="32"/>
          <w:szCs w:val="32"/>
        </w:rPr>
        <w:t>：子宫动脉介入化栓在局部晚期宫颈癌中的临床及基础应用</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提名者：</w:t>
      </w:r>
      <w:r>
        <w:rPr>
          <w:rFonts w:hint="eastAsia" w:ascii="仿宋_GB2312" w:hAnsi="仿宋_GB2312" w:eastAsia="仿宋_GB2312" w:cs="仿宋_GB2312"/>
          <w:bCs/>
          <w:sz w:val="32"/>
          <w:szCs w:val="32"/>
        </w:rPr>
        <w:t>陕西省卫生健康委员会</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提名意见：</w:t>
      </w:r>
      <w:r>
        <w:rPr>
          <w:rFonts w:hint="eastAsia" w:ascii="仿宋_GB2312" w:hAnsi="仿宋_GB2312" w:eastAsia="仿宋_GB2312" w:cs="仿宋_GB2312"/>
          <w:bCs/>
          <w:sz w:val="32"/>
          <w:szCs w:val="32"/>
          <w:lang w:eastAsia="zh-CN"/>
        </w:rPr>
        <w:t>拟</w:t>
      </w:r>
      <w:r>
        <w:rPr>
          <w:rFonts w:hint="eastAsia" w:ascii="仿宋_GB2312" w:hAnsi="仿宋_GB2312" w:eastAsia="仿宋_GB2312" w:cs="仿宋_GB2312"/>
          <w:bCs/>
          <w:sz w:val="32"/>
          <w:szCs w:val="32"/>
        </w:rPr>
        <w:t>提名该项目为陕西省科学技术进步奖</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
          <w:bCs/>
          <w:sz w:val="32"/>
          <w:szCs w:val="32"/>
        </w:rPr>
      </w:pPr>
      <w:bookmarkStart w:id="0" w:name="_GoBack"/>
      <w:bookmarkEnd w:id="0"/>
      <w:r>
        <w:rPr>
          <w:rFonts w:hint="eastAsia" w:ascii="仿宋_GB2312" w:hAnsi="仿宋_GB2312" w:eastAsia="仿宋_GB2312" w:cs="仿宋_GB2312"/>
          <w:b/>
          <w:bCs/>
          <w:sz w:val="32"/>
          <w:szCs w:val="32"/>
        </w:rPr>
        <w:t>项目简介：</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在全球，宫颈癌是最常见的妇科恶性肿瘤之一，其发病率和死亡率仅次于乳腺癌。宫颈癌传统的治疗方法是手术和放疗，早期子宫颈癌主要是指Ⅰ-Ⅱa期，手术和放疗疗效相当，总的五年生存率可达90％，但Ⅰb3和Ⅱa期局部肿瘤体积较大的巨块型（肿块直径≥4cm）宫颈癌，五年生存率不足50％，预后仍然差、复发及死亡率高。放疗是局部晚期及晚期宫颈癌的治疗方法，但是其费用高、剂量大、并发症重，严重影响患者的生活质量。现今，随着局部晚期宫颈癌患者增多以及发病年龄年轻化趋势明显，围绕传统的治疗模式对局部晚期宫颈癌的治疗效果并不理想，如何探索一种新的治疗方法以改善局部晚期宫颈癌患者预后及生活质量越来越受到人们的关注。近年来，随着化疗药物与介入放射学的发展，子宫动脉介入化疗栓塞术作为一种新的治疗方法，在局部晚期患者的治疗中起到了重要作用，特别是术前新辅助动脉介入化疗展现了一定的优势。</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本项目选取2010年1月至2020年12月局部晚期宫颈癌患者共216人，手术144人，手术率为（144/216）66.66%，失访9人，现有207人，死亡35人，总生存率（172/207）83.09%；现有207人，五年死亡25人，五年生存率（182/207）87.92%，治疗总有效率达83%，其中Ⅰb期疗效达88%。宫颈癌临床分期越晚，有效率逐渐下降，但Ⅱb-Ⅳa期有效率仍可达50%以上。由此可见子宫动脉介入化疗栓塞术在局部晚期宫颈癌治疗中，对于降低宫颈癌分期，缩小局部肿瘤体积，提高手术机会，减少术中出血，降低手术难度及副损伤，减少高危因素等方面都具有一定的作用，新辅助化疗在局部晚期宫颈癌中的应用具有其独特的优势。</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为了探明子宫动脉介入化疗栓塞术后良好预后情况的具体研究机制，本项目比较了局部晚期宫颈癌子宫动脉介入化疗栓塞术的有效率及化疗前后病灶大小的变化，通过对子宫动脉介入化疗栓塞术前后宫颈癌患者的组织标本进行芯片检测，初步筛选出相关的差异表达miRNA；进一步利用软件分析预测相关的下游靶分子，选取与细胞生长、分裂、增殖、凋亡等相关的分子。发现miR-99b和miR-143可能与宫颈癌的子宫动脉介入化疗栓塞相关；miR-99b和miR-143预测的下游靶分子IGF1R、THAP2、FRAP1和BCL2、MAP3K7、KIF3B、PTPN4可能参与了子宫动脉介入化疗栓塞的抑瘤作用。子宫动脉介入化疗栓塞通过上调miR-143在宫颈癌组织中的表达，下调FUT4的表达在宫颈癌治疗中起重要的作用。miR-543/TRPM7通过P13K/AKT和p38/MARK通路对宫颈癌细胞产生抑制作用。此结论同样在动物试验中被证实。TGIF2 在宫颈癌中表达增加，沉默TGIF2抑制宫颈癌细胞的增殖和迁移能力，沉默 FCMR 逆转了宫颈癌细胞中TGIF2敲除的抑制作用，提示TGIF2/FCMR作为宫颈癌发展的关键推动节点，这可能为宫颈癌的临床提供一个新治疗靶点。同时还发现联合免疫组化和PCR检测CK20敏感性较高，闭孔淋巴结可作为检测CK20表达的首选淋巴结，对于评价早期宫颈癌转移具有重要意义。</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然而，并不是所有子宫动脉介入化疗栓塞术后患者均可以进行手术治疗，这时就需要有效的评估方式来确保子宫动脉介入化疗栓塞术后手术的顺利实施，核磁共振成像（MRI）可通过多方位、多序列成像，在冠状位、矢状位和横断面上确定宫颈、阴道、宫旁以及盆壁的肿瘤浸润情况，是对宫颈癌病灶大小和侵犯程度进行评估的最准确的非侵入性检查方式，对确定肿瘤与周围正常组织关系具有很高的解剖学分辨率，在风险分层和决定治疗方案中得到了广泛应用。本项目结果提示MRI 诊断宫颈癌瘤体大小及临床分析准确性较高，为后续手术提供良好的临床基础。</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子宫动脉介入化疗栓塞术后部分患者可行阴式广泛性子宫切除术或阴式广泛性宫颈切除术，为了更好的完成阴式手术，本项目设计了两款手术器械，如妇科阴式手术缝合器、会阴部术后腿部撑开装置，这些阴式特殊手术器械的加入应用，解决了阴式手术暴露困难、不便操作等缺点，使得阴式广泛性子宫切除或阴式广泛性宫颈切术患者具有手术时间短、术中出血量少、术后肛门排气早、平均住院日减少及阴道切除完整等优势。</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本项目统计到局部晚期宫颈癌直接采用根治性放疗，总花费平均约71595.34元，治疗后发生相邻脏器瘘的发生率约为2%左右，相应未来的治疗和护理的费用会增加约22801元；而通过子宫动脉介入化疗栓塞术局部晚期宫颈癌患者术后发生临近脏器瘘的风险约为0.921%，并发症所带来的花费也会比直接放疗者要低，带来的经济效益十分显著。</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本项目使用子宫动脉介入化疗栓塞术在临床上获得了良好的效果，通过基因分子层面进一步证实了术前给予子宫动脉介入化疗栓塞可明显改善患者的生存结局，再使用MRI准确评估可手术人群，减少手术并发症、提高手术成功率，使MRI能够更加安全、可靠应用于合适的宫颈癌人群，使局部晚期宫颈癌患者获益。</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客观评价：</w:t>
      </w:r>
      <w:r>
        <w:rPr>
          <w:rFonts w:hint="eastAsia" w:ascii="仿宋_GB2312" w:hAnsi="仿宋_GB2312" w:eastAsia="仿宋_GB2312" w:cs="仿宋_GB2312"/>
          <w:bCs/>
          <w:sz w:val="32"/>
          <w:szCs w:val="32"/>
        </w:rPr>
        <w:t>本项目创新性提出了MicroRNAs在子宫动脉介入化疗栓塞术治疗局部晚期宫颈癌中发病机制。并发表了多篇文章，在国内外上得到了同行的广泛认可，其中总结如下：</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1.项目发表文章</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发表文章被广泛引用并转化专利推广，发表论文20余篇，其中被SCI收录的论文4篇，获得授权中国实用新型专利3项。</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2.项目推广</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主要通过会议、学习班及应用单位进行推广。共培训医务人员500余人，有效的缩小肿瘤病灶，降低肿瘤临床分期，增加手术机会，进而改善患者生存结局。与此同时，亦取得了良好的经济效益和社会效益，降低了宫颈癌患者的个人及社会经济负担，提高了全社会的宫颈癌诊治能力，为妇幼健康事业发展提供强有力的科技支撑。（1）通过学术交流、学习班推广：本研究成果受邀在国内大型学术会议上作口头发言或壁报交流，获得同行的一致好评。主办妇科肿瘤继续教育会议、学习班10余次。（2）成果应用：①成果已应用于省内3家医院，包括西北妇女儿童医院、汉中市中心医院、宝鸡市中心医院，使广大患者获益；②培养研究生5名。</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3.省市验收结题报告</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陕西省自然科学基础研究计划项目“宫颈癌新辅助化疗相关miRNA筛选及靶基因功能的分子机制研究（2020JZ-58）”按照陕西省自然科学基础研究计划结题项目评价指标和有关规定，经审查，符合结题要求，同意结题。</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（2）陕西省自然科学基础研究计划项目“HIF-α表达致宫颈癌放化疗抵抗的多模态功能磁共振研究，2017JM8145”按照陕西省自然科学基础研究计划结题项目评价指标和有关规定，经审查，符合结题要求，同意结题。</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（3）西安市科技计划项目“宫颈癌乏氧状态与放化疗抵抗的多模态功能磁共振研究(2017117 SF/YX 011(5))”验收合格。验收意见：本项目利用多模态功能磁共振技术，通过设计合理方案进行宫颈癌乏氧状态与放化疗抵抗的多模态功能磁共振研究，研究发现利用多模态磁共振检查进行宫颈癌乏氧状态判定在技术上是可行的，同时与HIF-1α表达水平进行对照，揭示二者之间的相关性，该研究结果表明乏氧状态与宫颈癌放化疗抵抗密切相关，揭示多模态功能磁共振技术可以作为宫颈癌放化疗抵抗预测及疗效评估的可靠手段，因此，本研究具有一定的学术及临床应用价值。</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（4）陕西省自然科学基础研究计划项目“miR-143调控Fut4在宫颈癌上皮间质转化中的作用研究(2014JQ2-8055)”按照陕西省自然科学基础研究计划结题项目评价指标和有关规定，经审查，符合结题要求，同意结题。</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（5）陕西省社发攻关项目“MicroRNAs与宫颈癌发生发展及预后的关系研究[2010K01-156]”验收合格，验收意见：(1)术前新辅助化疗是手术治疗巨块型宫颈癌的一种有效手段。(2) 生物芯片是一种有效的高通量分析与宫颈癌相关miRNA表达的研究手段；(3)miR-99b和miR-143可能与宫颈癌的新辅助化疗相关。(4)miR-99b和miR-143预测的下游靶分子IGF1R、THAP2、FRAP1和BCL2、MAP3K7、KIF3B、PTPN4可能参与了新辅助化疗的抑瘤作用。</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应用情况：</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Cs/>
          <w:sz w:val="32"/>
          <w:szCs w:val="32"/>
        </w:rPr>
        <w:t>缩小该技术在我院及西北妇女儿童医院，汉中市中心医院，宝鸡市中心医院广泛推展及应用，有效的控制病灶发展，肿瘤临床分期降低，局部病灶，为宫颈癌根治性手术创造条件，提高手术机会。取得了良好的经济效益和社会效益，切实提高了其他医院妇科宫颈癌的治疗水平。</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主要知识产权和标准规范等目录：</w:t>
      </w:r>
    </w:p>
    <w:tbl>
      <w:tblPr>
        <w:tblStyle w:val="5"/>
        <w:tblW w:w="894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1145"/>
        <w:gridCol w:w="1113"/>
        <w:gridCol w:w="1009"/>
        <w:gridCol w:w="975"/>
        <w:gridCol w:w="1134"/>
        <w:gridCol w:w="1134"/>
        <w:gridCol w:w="912"/>
        <w:gridCol w:w="9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14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知识产权类    别</w:t>
            </w:r>
          </w:p>
        </w:tc>
        <w:tc>
          <w:tcPr>
            <w:tcW w:w="111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知识产权</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具体名称</w:t>
            </w:r>
          </w:p>
        </w:tc>
        <w:tc>
          <w:tcPr>
            <w:tcW w:w="1009"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（地区）</w:t>
            </w:r>
          </w:p>
        </w:tc>
        <w:tc>
          <w:tcPr>
            <w:tcW w:w="97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授权号</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授权日期</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证书编号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权利人</w:t>
            </w:r>
          </w:p>
        </w:tc>
        <w:tc>
          <w:tcPr>
            <w:tcW w:w="97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145" w:type="dxa"/>
            <w:tcBorders>
              <w:top w:val="single" w:color="auto" w:sz="8" w:space="0"/>
              <w:left w:val="single" w:color="auto" w:sz="8" w:space="0"/>
              <w:bottom w:val="single" w:color="auto" w:sz="8" w:space="0"/>
              <w:right w:val="single" w:color="auto" w:sz="8" w:space="0"/>
            </w:tcBorders>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1113"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TGIF2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promotes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cervical cancer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metastasis by negatively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regulating </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FCMR</w:t>
            </w:r>
          </w:p>
        </w:tc>
        <w:tc>
          <w:tcPr>
            <w:tcW w:w="1009"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欧洲</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2020,24:5953-5962 </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2020年02月01日</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 xml:space="preserve">European Review for medical and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pharmoacological science</w:t>
            </w:r>
          </w:p>
        </w:tc>
        <w:tc>
          <w:tcPr>
            <w:tcW w:w="912"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陕西省人民医院</w:t>
            </w:r>
          </w:p>
        </w:tc>
        <w:tc>
          <w:tcPr>
            <w:tcW w:w="978"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J Jiang, RH Wu, HL Zhou,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ZM Li, D   Kou, Z  Deng,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M Dong,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LH Chen</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145" w:type="dxa"/>
            <w:tcBorders>
              <w:top w:val="single" w:color="auto" w:sz="8" w:space="0"/>
              <w:left w:val="single" w:color="auto" w:sz="8" w:space="0"/>
              <w:bottom w:val="single" w:color="auto" w:sz="8" w:space="0"/>
              <w:right w:val="single" w:color="auto" w:sz="8" w:space="0"/>
            </w:tcBorders>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1113"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 xml:space="preserve">Downregulation of </w:t>
            </w:r>
          </w:p>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has_circ_0007534 restricts the proliferation and invasion of cervical cancer through regulating miR-498/BMI-1 signaling</w:t>
            </w:r>
          </w:p>
        </w:tc>
        <w:tc>
          <w:tcPr>
            <w:tcW w:w="1009" w:type="dxa"/>
            <w:tcBorders>
              <w:top w:val="single" w:color="auto" w:sz="8" w:space="0"/>
              <w:left w:val="single" w:color="auto" w:sz="8" w:space="0"/>
              <w:bottom w:val="single" w:color="auto" w:sz="8" w:space="0"/>
              <w:right w:val="single" w:color="auto" w:sz="8" w:space="0"/>
            </w:tcBorders>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英国</w:t>
            </w:r>
          </w:p>
        </w:tc>
        <w:tc>
          <w:tcPr>
            <w:tcW w:w="975"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2019, 235, 116785</w:t>
            </w:r>
          </w:p>
        </w:tc>
        <w:tc>
          <w:tcPr>
            <w:tcW w:w="1134"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2019年10月01日</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p>
        </w:tc>
        <w:tc>
          <w:tcPr>
            <w:tcW w:w="1134"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Life Sciences</w:t>
            </w:r>
          </w:p>
        </w:tc>
        <w:tc>
          <w:tcPr>
            <w:tcW w:w="912"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陕西省人民医院</w:t>
            </w:r>
          </w:p>
        </w:tc>
        <w:tc>
          <w:tcPr>
            <w:tcW w:w="978" w:type="dxa"/>
            <w:tcBorders>
              <w:top w:val="single" w:color="auto" w:sz="8" w:space="0"/>
              <w:left w:val="single" w:color="auto" w:sz="8"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Xuan Rong, Wei Gao, Xiaomei Yang, Junjun Guo</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145" w:type="dxa"/>
            <w:tcBorders>
              <w:top w:val="single" w:color="auto" w:sz="8" w:space="0"/>
              <w:left w:val="single" w:color="auto" w:sz="8" w:space="0"/>
              <w:bottom w:val="single" w:color="auto" w:sz="8" w:space="0"/>
              <w:right w:val="single" w:color="auto" w:sz="8" w:space="0"/>
            </w:tcBorders>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miR-543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inhibites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cervical cancer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growth and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metastasis by targeting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TRPM7 </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美国</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2019,302:83-92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2019年07月01日</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Chemico</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Biological Interactions</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陕西省人民医院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Xiaoying Liu; Lu Gan; Jing Zhang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Short hairpin RNA targeting Twist1 suppresses cell proliferation and improves chemosensitivity to cisplatin in HeLa human cervical cancer cells</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希腊</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2012,27</w:t>
            </w:r>
            <w:r>
              <w:rPr>
                <w:rFonts w:hint="eastAsia" w:ascii="仿宋_GB2312" w:hAnsi="仿宋_GB2312" w:eastAsia="仿宋_GB2312" w:cs="仿宋_GB2312"/>
                <w:color w:val="000000"/>
                <w:sz w:val="32"/>
                <w:szCs w:val="32"/>
                <w:lang w:bidi="ar"/>
              </w:rPr>
              <w:t>:</w:t>
            </w:r>
            <w:r>
              <w:rPr>
                <w:rFonts w:hint="eastAsia" w:ascii="仿宋_GB2312" w:hAnsi="仿宋_GB2312" w:eastAsia="仿宋_GB2312" w:cs="仿宋_GB2312"/>
                <w:color w:val="000000"/>
                <w:sz w:val="32"/>
                <w:szCs w:val="32"/>
                <w:lang w:bidi="ar"/>
              </w:rPr>
              <w:t>1027-1034</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2012年02月01日</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Oncology Reports </w:t>
            </w: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陕西省人民医院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Kexiu Zhu, Lihong Chen, Xiaobin Han, Jia Wang, Jue Wang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基于FIGO 分期的宫颈癌多模态</w:t>
            </w:r>
            <w:r>
              <w:rPr>
                <w:rFonts w:hint="eastAsia" w:ascii="仿宋_GB2312" w:hAnsi="仿宋_GB2312" w:eastAsia="仿宋_GB2312" w:cs="仿宋_GB2312"/>
                <w:color w:val="000000"/>
                <w:sz w:val="32"/>
                <w:szCs w:val="32"/>
                <w:lang w:bidi="ar"/>
              </w:rPr>
              <w:t>MRI</w:t>
            </w:r>
            <w:r>
              <w:rPr>
                <w:rFonts w:hint="eastAsia" w:ascii="仿宋_GB2312" w:hAnsi="仿宋_GB2312" w:eastAsia="仿宋_GB2312" w:cs="仿宋_GB2312"/>
                <w:color w:val="000000"/>
                <w:sz w:val="32"/>
                <w:szCs w:val="32"/>
                <w:lang w:bidi="ar"/>
              </w:rPr>
              <w:t>研究</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中国</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2021,30</w:t>
            </w:r>
            <w:r>
              <w:rPr>
                <w:rFonts w:hint="eastAsia" w:ascii="仿宋_GB2312" w:hAnsi="仿宋_GB2312" w:eastAsia="仿宋_GB2312" w:cs="仿宋_GB2312"/>
                <w:color w:val="000000"/>
                <w:sz w:val="32"/>
                <w:szCs w:val="32"/>
                <w:lang w:bidi="ar"/>
              </w:rPr>
              <w:t>:</w:t>
            </w:r>
            <w:r>
              <w:rPr>
                <w:rFonts w:hint="eastAsia" w:ascii="仿宋_GB2312" w:hAnsi="仿宋_GB2312" w:eastAsia="仿宋_GB2312" w:cs="仿宋_GB2312"/>
                <w:color w:val="000000"/>
                <w:sz w:val="32"/>
                <w:szCs w:val="32"/>
                <w:lang w:bidi="ar"/>
              </w:rPr>
              <w:t>837-841</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2021年06月01日</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医学影像学杂志</w:t>
            </w: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陕西省人民医院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张鑫，闵智乾，张彬，于娇，陈丽宏，陈小龙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多模态磁共振检查在宫颈癌分期诊断中的应用。</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中国</w:t>
            </w: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2020,30</w:t>
            </w:r>
            <w:r>
              <w:rPr>
                <w:rFonts w:hint="eastAsia" w:ascii="仿宋_GB2312" w:hAnsi="仿宋_GB2312" w:eastAsia="仿宋_GB2312" w:cs="仿宋_GB2312"/>
                <w:color w:val="000000"/>
                <w:sz w:val="32"/>
                <w:szCs w:val="32"/>
                <w:lang w:bidi="ar"/>
              </w:rPr>
              <w:t>:</w:t>
            </w:r>
            <w:r>
              <w:rPr>
                <w:rFonts w:hint="eastAsia" w:ascii="仿宋_GB2312" w:hAnsi="仿宋_GB2312" w:eastAsia="仿宋_GB2312" w:cs="仿宋_GB2312"/>
                <w:color w:val="000000"/>
                <w:sz w:val="32"/>
                <w:szCs w:val="32"/>
                <w:lang w:bidi="ar"/>
              </w:rPr>
              <w:t>784-788.</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2020年06月01日</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医学影像学杂志</w:t>
            </w: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陕西省人民医院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石家源，蔺莉莉，闵智乾，于娇，陈丽宏，李连香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磁共振T２ WI 联合DWI 对宫颈癌宫旁浸润的诊断价值</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2018,29:1427-1430</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2018年05月01日</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中国妇幼健康研究</w:t>
            </w: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陕西省人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lang w:bidi="ar"/>
              </w:rPr>
              <w:t>王涛，严雪娇，闵智乾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miR-99b在新辅助化疗宫颈癌组织中的表达. </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中国</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2016,45:1292-1293+1312.</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2016年08月01日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陕西医学杂志</w:t>
            </w: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陕西省人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李连香, 于翠革, 陈丽宏, 杨晓梅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论文</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新辅助化疗治疗巨块型宫颈癌的疗效 </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中国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2013,21:2306-2308.</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2013年05月01日</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现代肿瘤医学</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陕西省人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李连香，陈丽宏，李玢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kinsoku/>
              <w:wordWrap/>
              <w:overflowPunct/>
              <w:topLinePunct w:val="0"/>
              <w:autoSpaceDE/>
              <w:autoSpaceDN/>
              <w:bidi w:val="0"/>
              <w:adjustRightInd/>
              <w:snapToGrid/>
              <w:spacing w:after="0"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114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专利</w:t>
            </w:r>
          </w:p>
        </w:tc>
        <w:tc>
          <w:tcPr>
            <w:tcW w:w="11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一种妇科阴式手术缝合器</w:t>
            </w:r>
          </w:p>
        </w:tc>
        <w:tc>
          <w:tcPr>
            <w:tcW w:w="1009"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中国</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97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ZL 2019 2 2016408.9</w:t>
            </w: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2019年11月20日</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113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p>
        </w:tc>
        <w:tc>
          <w:tcPr>
            <w:tcW w:w="91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 xml:space="preserve">陕西省人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民医院</w:t>
            </w:r>
          </w:p>
        </w:tc>
        <w:tc>
          <w:tcPr>
            <w:tcW w:w="978"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bidi="ar"/>
              </w:rPr>
              <w:t>李玢</w:t>
            </w:r>
          </w:p>
        </w:tc>
      </w:tr>
    </w:tbl>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主要完成人情况及完成人合作关系说明：</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陈丽宏主任医师，博士，现为陕西省人民医院医妇科主任，作为本项目的主要完成人，陈丽宏主任医师使用子宫动脉介入化栓术在临床上获得了良好的效果，通过基因分子层面进一步证实了术前给予子宫动脉介入化栓可明显改善患者的生存结局，再使用MRI准确评估可手术人群，减少手术并发症、提高手术成功率，使MRI能够更加安全、可靠应用于合适的宫颈癌人群，使局部晚期宫颈癌患者获益。取得了良好的经济效益和社会效益。同时在子宫动脉介入化栓术的基础研究方面有着重大的贡献，获得省级多项项目资助（附件1、附件3、附件5、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李玢副主任医师，博士，作为本项目的第二完成人，现为陕西省人民医院医妇科副主任医师，参与相关课题实施及文章撰写、专利申请，合作内容围绕新辅助化疗对宫颈癌临床及分子机制方面开展研究，并设计了阴式特殊手术器械，解决了阴式手术暴露困难、不便操作等缺点。形成了本项目的5篇论文成果及1项专利。为本项目宫颈癌的理论与临床密切结合提供了基础（附件1、附件4、附件5、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邓卓主治医师，博士，作为本项目的第三完成人，现为陕西省人民医院医妇科主治医师，参与相关课题实施及文章撰写，合作内容围绕宫颈癌分子机制方面开展研究。研究发现TGIF2在宫颈癌中表达增加，沉默TGIF2抑制宫颈癌细胞的增殖和迁移能力，沉默 FCMR 逆转了宫颈癌细胞中TGIF2敲除的抑制作用，提示TGIF2/FCMR作为宫颈癌发展的关键推动节点，这可能为宫颈癌的临床提供一个新治疗靶点。形成了本项目的4篇论文成果。为本项目的基础研究作出贡献（附件1、附件5、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黄剑峰副主任医师，硕士，现为陕西省人民医院医妇科副主任医师，作为本项目的第四完成人，参与相关临床手术实施及文章撰写。研究发现联合免疫组化和PCR检测CK20敏感性较高，闭孔淋巴结可作为检测CK20表达的首选淋巴结，对于评价早期宫颈癌转移具有重要意义。为本项目的基础与临床研究作出贡献（附件1、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闵智乾主任医师，硕士，现为陕西省人民医院医学影像中心主任医师，作为本项目的第五完成人，参与相关课题指导及文章撰写。研究发现利用多模态磁共振检查进行宫颈癌乏氧状态判定在技术上是可行的，同时与HIF-1α表达水平进行对照，揭示二者之间的相关性，该研究结果表明乏氧状态与宫颈癌放化疗抵抗密切相关，揭示多模态功能磁共振技术可以作为宫颈癌放化疗抵抗预测及疗效评估的可靠手段。为本项目的基础研究作出贡献（附件1、附件6）。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刘晓英主任医师，现为陕西省人民医院医妇科主任医师，作为本项目的第六完成人，参与相关课题指导及文章撰写。研究发现研究发现miR-543过表达抑制宫颈癌细胞增殖。miR-543促进宫颈癌细胞凋亡和阻断细胞周期进程。miR-543的过表达抑制宫颈癌细胞的侵袭和迁移。为本项目的基础研究作出贡献（附件1、附件5）。 </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李连香主任医师，硕士，现为陕西省人民医院医妇科主任医师，作为本项目的第七完成人，参与相关课题指导、实施及文章撰写。为本项目的基础研究作出贡献（附件6）。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荣晅副主任医师，硕士，现为陕西省人民医院妇科副主任医师，作为本项目的第八完成人，参与相关课题实施及文章撰写。发现has-circ-0007534/miR-498/bmi-1轴是治疗宫颈癌的潜在治疗靶点。为本项目的基础研究作出贡献（附件5、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杨晓梅主管护师，现为陕西省人民医院妇科护士长，作为本项目的第九完成人，在本项目中参与临床推广应用及专利申请。为本项目的临床应用作出贡献（附件4、附件5、附件6）。</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主要完成单位：</w:t>
      </w:r>
    </w:p>
    <w:tbl>
      <w:tblPr>
        <w:tblStyle w:val="5"/>
        <w:tblW w:w="90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792"/>
        <w:gridCol w:w="1289"/>
        <w:gridCol w:w="1482"/>
        <w:gridCol w:w="1139"/>
        <w:gridCol w:w="18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exact"/>
          <w:jc w:val="center"/>
        </w:trPr>
        <w:tc>
          <w:tcPr>
            <w:tcW w:w="1476" w:type="dxa"/>
            <w:tcBorders>
              <w:top w:val="single" w:color="auto" w:sz="8"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7524" w:type="dxa"/>
            <w:gridSpan w:val="5"/>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exact"/>
          <w:jc w:val="center"/>
        </w:trPr>
        <w:tc>
          <w:tcPr>
            <w:tcW w:w="1476"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排    名</w:t>
            </w:r>
          </w:p>
        </w:tc>
        <w:tc>
          <w:tcPr>
            <w:tcW w:w="17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2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14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宋张骏</w:t>
            </w:r>
          </w:p>
        </w:tc>
        <w:tc>
          <w:tcPr>
            <w:tcW w:w="11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 在 地</w:t>
            </w:r>
          </w:p>
        </w:tc>
        <w:tc>
          <w:tcPr>
            <w:tcW w:w="182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exact"/>
          <w:jc w:val="center"/>
        </w:trPr>
        <w:tc>
          <w:tcPr>
            <w:tcW w:w="1476"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单位性质</w:t>
            </w:r>
          </w:p>
        </w:tc>
        <w:tc>
          <w:tcPr>
            <w:tcW w:w="17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医疗机构</w:t>
            </w:r>
          </w:p>
        </w:tc>
        <w:tc>
          <w:tcPr>
            <w:tcW w:w="12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传    真</w:t>
            </w:r>
          </w:p>
        </w:tc>
        <w:tc>
          <w:tcPr>
            <w:tcW w:w="14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029-85236987</w:t>
            </w:r>
          </w:p>
        </w:tc>
        <w:tc>
          <w:tcPr>
            <w:tcW w:w="11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邮政编码</w:t>
            </w:r>
          </w:p>
        </w:tc>
        <w:tc>
          <w:tcPr>
            <w:tcW w:w="182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710068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exact"/>
          <w:jc w:val="center"/>
        </w:trPr>
        <w:tc>
          <w:tcPr>
            <w:tcW w:w="1476"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通讯地址</w:t>
            </w:r>
          </w:p>
        </w:tc>
        <w:tc>
          <w:tcPr>
            <w:tcW w:w="7524" w:type="dxa"/>
            <w:gridSpan w:val="5"/>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西安市碑林区友谊西路256号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6" w:hRule="exact"/>
          <w:jc w:val="center"/>
        </w:trPr>
        <w:tc>
          <w:tcPr>
            <w:tcW w:w="1476"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 系 人</w:t>
            </w:r>
          </w:p>
        </w:tc>
        <w:tc>
          <w:tcPr>
            <w:tcW w:w="17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张先娇</w:t>
            </w:r>
          </w:p>
        </w:tc>
        <w:tc>
          <w:tcPr>
            <w:tcW w:w="12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单位电话</w:t>
            </w:r>
          </w:p>
        </w:tc>
        <w:tc>
          <w:tcPr>
            <w:tcW w:w="14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85251331</w:t>
            </w:r>
          </w:p>
        </w:tc>
        <w:tc>
          <w:tcPr>
            <w:tcW w:w="11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移动电话</w:t>
            </w:r>
          </w:p>
        </w:tc>
        <w:tc>
          <w:tcPr>
            <w:tcW w:w="182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18392079300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1476"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电子邮箱</w:t>
            </w:r>
          </w:p>
        </w:tc>
        <w:tc>
          <w:tcPr>
            <w:tcW w:w="7524" w:type="dxa"/>
            <w:gridSpan w:val="5"/>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2" w:hRule="atLeast"/>
          <w:jc w:val="center"/>
        </w:trPr>
        <w:tc>
          <w:tcPr>
            <w:tcW w:w="9000" w:type="dxa"/>
            <w:gridSpan w:val="6"/>
            <w:tcBorders>
              <w:top w:val="single" w:color="auto" w:sz="4" w:space="0"/>
              <w:left w:val="single" w:color="auto" w:sz="8" w:space="0"/>
              <w:right w:val="single" w:color="auto" w:sz="8" w:space="0"/>
            </w:tcBorders>
          </w:tcPr>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对本项目科技创新和应用推广情况的贡献：</w:t>
            </w:r>
          </w:p>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陕西省人民医院为整个项目提供了实验平台和资金支持，依托陕西省人民医院，本项目在基础研究，新技术推广方面得以顺利进行。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3" w:hRule="atLeast"/>
          <w:jc w:val="center"/>
        </w:trPr>
        <w:tc>
          <w:tcPr>
            <w:tcW w:w="9000" w:type="dxa"/>
            <w:gridSpan w:val="6"/>
            <w:tcBorders>
              <w:top w:val="single" w:color="auto" w:sz="4" w:space="0"/>
              <w:left w:val="single" w:color="auto" w:sz="8" w:space="0"/>
              <w:bottom w:val="single" w:color="auto" w:sz="8" w:space="0"/>
              <w:right w:val="single" w:color="auto" w:sz="8" w:space="0"/>
            </w:tcBorders>
          </w:tcPr>
          <w:p>
            <w:pPr>
              <w:pStyle w:val="3"/>
              <w:keepNext w:val="0"/>
              <w:keepLines w:val="0"/>
              <w:pageBreakBefore w:val="0"/>
              <w:kinsoku/>
              <w:wordWrap/>
              <w:overflowPunct/>
              <w:topLinePunct w:val="0"/>
              <w:autoSpaceDE/>
              <w:autoSpaceDN/>
              <w:bidi w:val="0"/>
              <w:adjustRightInd/>
              <w:snapToGrid/>
              <w:spacing w:after="0" w:line="520" w:lineRule="exact"/>
              <w:ind w:left="0" w:leftChars="0" w:right="0" w:rightChars="0" w:firstLine="422"/>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声明</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本单位同意完成单位排名，遵守《陕西省科学技术奖励办法》及其实施细则的有关规定，承诺遵守评审工作纪律，保证所提供的有关材料真实有效，且不存在任何违反《中华人民共和国保守国家密法》和《科学技术保密规定》等相关法律法规及侵犯他人知识产权的情形。如产生争议，保证积极配合调查处理工作。如有材料虚假或违纪行为，愿意承担相应责任并接受相应处理。</w:t>
            </w:r>
          </w:p>
          <w:p>
            <w:pPr>
              <w:pStyle w:val="3"/>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法定代表人签名：                                      单位（盖章）</w:t>
            </w:r>
          </w:p>
          <w:p>
            <w:pPr>
              <w:pStyle w:val="3"/>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adjustRightInd/>
              <w:snapToGrid/>
              <w:spacing w:after="0" w:line="520" w:lineRule="exact"/>
              <w:ind w:left="0" w:leftChars="0" w:right="0" w:rightChars="0" w:firstLine="2560" w:firstLineChars="8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tc>
      </w:tr>
    </w:tbl>
    <w:p>
      <w:pPr>
        <w:keepNext w:val="0"/>
        <w:keepLines w:val="0"/>
        <w:pageBreakBefore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hAnsi="仿宋_GB2312" w:eastAsia="仿宋_GB2312" w:cs="仿宋_GB2312"/>
          <w:b/>
          <w:sz w:val="32"/>
          <w:szCs w:val="32"/>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FangSong_GB2312">
    <w:altName w:val="仿宋_GB2312"/>
    <w:panose1 w:val="02010609060101010101"/>
    <w:charset w:val="86"/>
    <w:family w:val="modern"/>
    <w:pitch w:val="default"/>
    <w:sig w:usb0="00000000" w:usb1="00000000" w:usb2="00000016" w:usb3="00000000" w:csb0="00040001" w:csb1="00000000"/>
  </w:font>
  <w:font w:name="Consolas">
    <w:panose1 w:val="020B0609020204030204"/>
    <w:charset w:val="00"/>
    <w:family w:val="modern"/>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2C2"/>
    <w:rsid w:val="001112C2"/>
    <w:rsid w:val="00233E25"/>
    <w:rsid w:val="003D318F"/>
    <w:rsid w:val="007B2656"/>
    <w:rsid w:val="00B3246B"/>
    <w:rsid w:val="00B54A36"/>
    <w:rsid w:val="00B930C8"/>
    <w:rsid w:val="00FF6A0C"/>
    <w:rsid w:val="50DC4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6"/>
    <w:qFormat/>
    <w:uiPriority w:val="0"/>
    <w:pPr>
      <w:widowControl w:val="0"/>
      <w:spacing w:after="0" w:line="360" w:lineRule="auto"/>
      <w:ind w:firstLine="480" w:firstLineChars="200"/>
      <w:jc w:val="both"/>
    </w:pPr>
    <w:rPr>
      <w:rFonts w:ascii="FangSong_GB2312" w:hAnsi="Times New Roman"/>
      <w:kern w:val="2"/>
      <w:sz w:val="24"/>
    </w:rPr>
  </w:style>
  <w:style w:type="paragraph" w:styleId="3">
    <w:name w:val="Body Text Indent 3"/>
    <w:basedOn w:val="1"/>
    <w:link w:val="8"/>
    <w:semiHidden/>
    <w:qFormat/>
    <w:uiPriority w:val="0"/>
    <w:pPr>
      <w:widowControl w:val="0"/>
      <w:spacing w:after="0" w:line="240" w:lineRule="auto"/>
      <w:ind w:firstLine="420" w:firstLineChars="200"/>
      <w:jc w:val="both"/>
    </w:pPr>
    <w:rPr>
      <w:rFonts w:eastAsia="宋体"/>
      <w:kern w:val="2"/>
      <w:sz w:val="21"/>
    </w:rPr>
  </w:style>
  <w:style w:type="character" w:customStyle="1" w:styleId="6">
    <w:name w:val="纯文本 Char2"/>
    <w:link w:val="2"/>
    <w:uiPriority w:val="0"/>
    <w:rPr>
      <w:rFonts w:ascii="FangSong_GB2312" w:hAnsi="Times New Roman"/>
      <w:kern w:val="2"/>
      <w:sz w:val="24"/>
    </w:rPr>
  </w:style>
  <w:style w:type="character" w:customStyle="1" w:styleId="7">
    <w:name w:val="纯文本 Char"/>
    <w:basedOn w:val="4"/>
    <w:semiHidden/>
    <w:qFormat/>
    <w:uiPriority w:val="99"/>
    <w:rPr>
      <w:rFonts w:ascii="Consolas" w:hAnsi="Consolas"/>
      <w:sz w:val="21"/>
      <w:szCs w:val="21"/>
    </w:rPr>
  </w:style>
  <w:style w:type="character" w:customStyle="1" w:styleId="8">
    <w:name w:val="正文文本缩进 3 Char"/>
    <w:link w:val="3"/>
    <w:semiHidden/>
    <w:qFormat/>
    <w:uiPriority w:val="0"/>
    <w:rPr>
      <w:rFonts w:eastAsia="宋体"/>
      <w:kern w:val="2"/>
      <w:sz w:val="21"/>
    </w:rPr>
  </w:style>
  <w:style w:type="character" w:customStyle="1" w:styleId="9">
    <w:name w:val="正文文本缩进 3 Char1"/>
    <w:basedOn w:val="4"/>
    <w:semiHidden/>
    <w:qFormat/>
    <w:uiPriority w:val="99"/>
    <w:rPr>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1078</Words>
  <Characters>6151</Characters>
  <Lines>51</Lines>
  <Paragraphs>14</Paragraphs>
  <TotalTime>12</TotalTime>
  <ScaleCrop>false</ScaleCrop>
  <LinksUpToDate>false</LinksUpToDate>
  <CharactersWithSpaces>7215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2022-06-20T00:54:00Z</dcterms:created>
  <dc:creator>DengZhuo</dc:creator>
  <cp:lastModifiedBy>ml</cp:lastModifiedBy>
  <dcterms:modified xsi:type="dcterms:W3CDTF">2022-07-01T02:10:03Z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