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numPr>
          <w:ilvl w:val="0"/>
          <w:numId w:val="1"/>
        </w:numPr>
        <w:spacing w:line="440" w:lineRule="atLeast"/>
        <w:ind w:left="709" w:hanging="709" w:firstLineChars="0"/>
        <w:rPr>
          <w:rFonts w:eastAsiaTheme="minorEastAsia"/>
          <w:b/>
          <w:sz w:val="24"/>
          <w:szCs w:val="24"/>
        </w:rPr>
      </w:pPr>
      <w:r>
        <w:rPr>
          <w:rFonts w:eastAsiaTheme="minorEastAsia"/>
          <w:b/>
          <w:sz w:val="24"/>
          <w:szCs w:val="24"/>
        </w:rPr>
        <w:t>项目名称</w:t>
      </w:r>
    </w:p>
    <w:p>
      <w:pPr>
        <w:pStyle w:val="9"/>
        <w:spacing w:line="440" w:lineRule="atLeast"/>
        <w:ind w:left="-2" w:leftChars="-1" w:firstLine="566" w:firstLineChars="236"/>
        <w:rPr>
          <w:rFonts w:hint="eastAsia" w:eastAsiaTheme="minorEastAsia"/>
          <w:sz w:val="24"/>
          <w:szCs w:val="24"/>
          <w:lang w:eastAsia="zh-CN"/>
        </w:rPr>
      </w:pPr>
      <w:r>
        <w:rPr>
          <w:rFonts w:hint="eastAsia" w:eastAsiaTheme="minorEastAsia"/>
          <w:sz w:val="24"/>
          <w:szCs w:val="24"/>
          <w:lang w:eastAsia="zh-CN"/>
        </w:rPr>
        <w:t>陕西省地方病防治研究</w:t>
      </w:r>
    </w:p>
    <w:p>
      <w:pPr>
        <w:pStyle w:val="9"/>
        <w:numPr>
          <w:ilvl w:val="0"/>
          <w:numId w:val="1"/>
        </w:numPr>
        <w:spacing w:line="440" w:lineRule="atLeast"/>
        <w:ind w:left="709" w:hanging="709" w:firstLineChars="0"/>
        <w:rPr>
          <w:rFonts w:eastAsiaTheme="minorEastAsia"/>
          <w:b/>
          <w:sz w:val="24"/>
          <w:szCs w:val="24"/>
        </w:rPr>
      </w:pPr>
      <w:r>
        <w:rPr>
          <w:rFonts w:eastAsiaTheme="minorEastAsia"/>
          <w:b/>
          <w:sz w:val="24"/>
          <w:szCs w:val="24"/>
        </w:rPr>
        <w:t>提名者及提名意见</w:t>
      </w:r>
    </w:p>
    <w:p>
      <w:pPr>
        <w:spacing w:line="440" w:lineRule="atLeast"/>
        <w:ind w:firstLine="566" w:firstLineChars="236"/>
        <w:rPr>
          <w:rFonts w:hint="eastAsia" w:eastAsiaTheme="minorEastAsia"/>
          <w:sz w:val="24"/>
          <w:szCs w:val="24"/>
          <w:lang w:eastAsia="zh-CN"/>
        </w:rPr>
      </w:pPr>
      <w:r>
        <w:rPr>
          <w:rFonts w:eastAsiaTheme="minorEastAsia"/>
          <w:sz w:val="24"/>
          <w:szCs w:val="24"/>
        </w:rPr>
        <w:t>提名单位：陕西省</w:t>
      </w:r>
      <w:r>
        <w:rPr>
          <w:rFonts w:hint="eastAsia" w:eastAsiaTheme="minorEastAsia"/>
          <w:sz w:val="24"/>
          <w:szCs w:val="24"/>
          <w:lang w:eastAsia="zh-CN"/>
        </w:rPr>
        <w:t>卫生健康委员会</w:t>
      </w:r>
    </w:p>
    <w:p>
      <w:pPr>
        <w:spacing w:line="440" w:lineRule="atLeast"/>
        <w:ind w:firstLine="566" w:firstLineChars="236"/>
        <w:jc w:val="left"/>
        <w:outlineLvl w:val="1"/>
        <w:rPr>
          <w:rFonts w:hint="eastAsia" w:eastAsiaTheme="minorEastAsia"/>
          <w:sz w:val="24"/>
          <w:szCs w:val="24"/>
        </w:rPr>
      </w:pPr>
      <w:r>
        <w:rPr>
          <w:rFonts w:eastAsiaTheme="minorEastAsia"/>
          <w:sz w:val="24"/>
          <w:szCs w:val="24"/>
        </w:rPr>
        <w:t>提名意见：</w:t>
      </w:r>
      <w:bookmarkStart w:id="0" w:name="_GoBack"/>
      <w:bookmarkEnd w:id="0"/>
      <w:r>
        <w:rPr>
          <w:rFonts w:hint="eastAsia" w:eastAsiaTheme="minorEastAsia"/>
          <w:sz w:val="24"/>
          <w:szCs w:val="24"/>
          <w:lang w:val="en-US" w:eastAsia="zh-CN"/>
        </w:rPr>
        <w:t>拟</w:t>
      </w:r>
      <w:r>
        <w:rPr>
          <w:rFonts w:hint="eastAsia" w:eastAsiaTheme="minorEastAsia"/>
          <w:sz w:val="24"/>
          <w:szCs w:val="24"/>
        </w:rPr>
        <w:t>提名该项目为陕西省</w:t>
      </w:r>
      <w:r>
        <w:rPr>
          <w:rFonts w:hint="eastAsia" w:eastAsiaTheme="minorEastAsia"/>
          <w:sz w:val="24"/>
          <w:szCs w:val="24"/>
          <w:lang w:eastAsia="zh-CN"/>
        </w:rPr>
        <w:t>科学技术进步</w:t>
      </w:r>
      <w:r>
        <w:rPr>
          <w:rFonts w:hint="eastAsia" w:eastAsiaTheme="minorEastAsia"/>
          <w:sz w:val="24"/>
          <w:szCs w:val="24"/>
        </w:rPr>
        <w:t>奖。</w:t>
      </w:r>
    </w:p>
    <w:p>
      <w:pPr>
        <w:pStyle w:val="9"/>
        <w:numPr>
          <w:ilvl w:val="0"/>
          <w:numId w:val="1"/>
        </w:numPr>
        <w:spacing w:line="440" w:lineRule="atLeast"/>
        <w:ind w:left="709" w:hanging="709" w:firstLineChars="0"/>
        <w:rPr>
          <w:rFonts w:eastAsiaTheme="minorEastAsia"/>
          <w:b/>
          <w:sz w:val="24"/>
          <w:szCs w:val="24"/>
        </w:rPr>
      </w:pPr>
      <w:r>
        <w:rPr>
          <w:rFonts w:eastAsiaTheme="minorEastAsia"/>
          <w:b/>
          <w:sz w:val="24"/>
          <w:szCs w:val="24"/>
        </w:rPr>
        <w:t>项目简介</w:t>
      </w:r>
    </w:p>
    <w:p>
      <w:pPr>
        <w:pStyle w:val="4"/>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outlineLvl w:val="1"/>
        <w:rPr>
          <w:rFonts w:hint="eastAsia"/>
        </w:rPr>
      </w:pPr>
      <w:r>
        <w:rPr>
          <w:rFonts w:hint="eastAsia" w:cs="Times New Roman"/>
          <w:kern w:val="2"/>
          <w:sz w:val="24"/>
          <w:szCs w:val="24"/>
          <w:lang w:val="en-US" w:eastAsia="zh-CN" w:bidi="ar-SA"/>
        </w:rPr>
        <w:t>陕西省</w:t>
      </w:r>
      <w:r>
        <w:rPr>
          <w:rFonts w:hint="eastAsia" w:ascii="仿宋_GB2312" w:hAnsi="Calibri" w:eastAsia="宋体" w:cs="Times New Roman"/>
          <w:kern w:val="2"/>
          <w:sz w:val="24"/>
          <w:szCs w:val="24"/>
          <w:lang w:val="en-US" w:eastAsia="zh-CN" w:bidi="ar-SA"/>
        </w:rPr>
        <w:t>是全</w:t>
      </w:r>
      <w:r>
        <w:rPr>
          <w:rFonts w:hint="eastAsia"/>
        </w:rPr>
        <w:t>国地方病重病区省份之一，</w:t>
      </w:r>
      <w:r>
        <w:rPr>
          <w:rFonts w:hint="eastAsia"/>
          <w:lang w:val="en-US" w:eastAsia="zh-CN"/>
        </w:rPr>
        <w:t>大骨节病、克山病、碘缺乏病、水源性高碘、地方性氟中毒等地方病均有发生，</w:t>
      </w:r>
      <w:r>
        <w:rPr>
          <w:rFonts w:hint="eastAsia"/>
        </w:rPr>
        <w:t>病种</w:t>
      </w:r>
      <w:r>
        <w:rPr>
          <w:rFonts w:hint="eastAsia"/>
          <w:lang w:eastAsia="zh-CN"/>
        </w:rPr>
        <w:t>、</w:t>
      </w:r>
      <w:r>
        <w:rPr>
          <w:rFonts w:hint="eastAsia"/>
        </w:rPr>
        <w:t>病人多</w:t>
      </w:r>
      <w:r>
        <w:rPr>
          <w:rFonts w:hint="eastAsia"/>
          <w:lang w:eastAsia="zh-CN"/>
        </w:rPr>
        <w:t>，</w:t>
      </w:r>
      <w:r>
        <w:rPr>
          <w:rFonts w:hint="eastAsia"/>
        </w:rPr>
        <w:t>分布广</w:t>
      </w:r>
      <w:r>
        <w:rPr>
          <w:rFonts w:hint="eastAsia"/>
          <w:lang w:eastAsia="zh-CN"/>
        </w:rPr>
        <w:t>，</w:t>
      </w:r>
      <w:r>
        <w:rPr>
          <w:rFonts w:hint="eastAsia"/>
        </w:rPr>
        <w:t>危害大，</w:t>
      </w:r>
      <w:r>
        <w:rPr>
          <w:rFonts w:hint="eastAsia"/>
          <w:lang w:val="en-US" w:eastAsia="zh-CN"/>
        </w:rPr>
        <w:t>严重影响病区人民生命健康和社会经济发展</w:t>
      </w:r>
      <w:r>
        <w:rPr>
          <w:rFonts w:hint="eastAsia"/>
          <w:lang w:eastAsia="zh-CN"/>
        </w:rPr>
        <w:t>，</w:t>
      </w:r>
      <w:r>
        <w:rPr>
          <w:rFonts w:hint="eastAsia"/>
        </w:rPr>
        <w:t>全省3900余万人均受不同程度的地方病</w:t>
      </w:r>
      <w:r>
        <w:rPr>
          <w:rFonts w:hint="eastAsia"/>
          <w:lang w:val="en-US" w:eastAsia="zh-CN"/>
        </w:rPr>
        <w:t>危</w:t>
      </w:r>
      <w:r>
        <w:rPr>
          <w:rFonts w:hint="eastAsia"/>
        </w:rPr>
        <w:t>害。</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hAnsi="Calibri" w:cs="Times New Roman"/>
          <w:kern w:val="2"/>
          <w:sz w:val="24"/>
          <w:szCs w:val="24"/>
          <w:lang w:val="en-US" w:eastAsia="zh-CN" w:bidi="ar-SA"/>
        </w:rPr>
      </w:pPr>
      <w:r>
        <w:rPr>
          <w:rFonts w:hint="eastAsia" w:ascii="仿宋_GB2312" w:hAnsi="Times New Roman" w:eastAsia="宋体" w:cs="Times New Roman"/>
          <w:kern w:val="2"/>
          <w:sz w:val="24"/>
          <w:lang w:val="en-US" w:eastAsia="zh-CN" w:bidi="ar-SA"/>
        </w:rPr>
        <w:t>陕西省地方病防治研究所、西安交通大学三代人七十余年艰苦工作，在多个国家地方病防治科学规划及国家重大自然科学基金项目的支持和资助下，</w:t>
      </w:r>
      <w:r>
        <w:rPr>
          <w:rFonts w:hint="eastAsia" w:ascii="仿宋_GB2312" w:hAnsi="Times New Roman" w:eastAsia="宋体" w:cs="Times New Roman"/>
          <w:b/>
          <w:bCs/>
          <w:kern w:val="2"/>
          <w:sz w:val="24"/>
          <w:lang w:val="en-US" w:eastAsia="zh-CN" w:bidi="ar-SA"/>
        </w:rPr>
        <w:t>围绕地方病各病种病因、流行趋势、防治措施等开展科学研究；以数十年的病情及相关因素调研为依托，明确了病区分布、流行特点及趋势，开展防治策略研究，为陕西地方病防治策略制定提供科学依据，防治成效显著。</w:t>
      </w:r>
      <w:r>
        <w:rPr>
          <w:rFonts w:hint="eastAsia" w:ascii="仿宋_GB2312" w:hAnsi="Times New Roman" w:eastAsia="宋体" w:cs="Times New Roman"/>
          <w:kern w:val="2"/>
          <w:sz w:val="24"/>
          <w:lang w:val="en-US" w:eastAsia="zh-CN" w:bidi="ar-SA"/>
        </w:rPr>
        <w:t>共发表论文114篇，其中SCI论文8篇；出版专著 6部；制定国家标准2部。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default" w:ascii="仿宋_GB2312" w:hAnsi="Times New Roman" w:eastAsia="宋体" w:cs="Times New Roman"/>
          <w:b/>
          <w:bCs/>
          <w:kern w:val="2"/>
          <w:sz w:val="24"/>
          <w:szCs w:val="22"/>
          <w:lang w:val="en-US" w:eastAsia="zh-CN" w:bidi="ar-SA"/>
        </w:rPr>
      </w:pPr>
      <w:r>
        <w:rPr>
          <w:rFonts w:hint="eastAsia" w:ascii="仿宋_GB2312" w:cs="Times New Roman"/>
          <w:b/>
          <w:bCs/>
          <w:kern w:val="2"/>
          <w:sz w:val="24"/>
          <w:szCs w:val="22"/>
          <w:lang w:val="en-US" w:eastAsia="zh-CN" w:bidi="ar-SA"/>
        </w:rPr>
        <w:t>（</w:t>
      </w:r>
      <w:r>
        <w:rPr>
          <w:rFonts w:hint="eastAsia" w:ascii="仿宋_GB2312" w:hAnsi="Times New Roman" w:eastAsia="宋体" w:cs="Times New Roman"/>
          <w:b/>
          <w:bCs/>
          <w:kern w:val="2"/>
          <w:sz w:val="24"/>
          <w:szCs w:val="22"/>
          <w:lang w:val="en-US" w:eastAsia="zh-CN" w:bidi="ar-SA"/>
        </w:rPr>
        <w:t>一</w:t>
      </w:r>
      <w:r>
        <w:rPr>
          <w:rFonts w:hint="eastAsia" w:ascii="仿宋_GB2312" w:cs="Times New Roman"/>
          <w:b/>
          <w:bCs/>
          <w:kern w:val="2"/>
          <w:sz w:val="24"/>
          <w:szCs w:val="22"/>
          <w:lang w:val="en-US" w:eastAsia="zh-CN" w:bidi="ar-SA"/>
        </w:rPr>
        <w:t>）掌握了</w:t>
      </w:r>
      <w:r>
        <w:rPr>
          <w:rFonts w:hint="eastAsia" w:ascii="仿宋_GB2312" w:hAnsi="Times New Roman" w:eastAsia="宋体" w:cs="Times New Roman"/>
          <w:b/>
          <w:bCs/>
          <w:kern w:val="2"/>
          <w:sz w:val="24"/>
          <w:szCs w:val="22"/>
          <w:lang w:val="en-US" w:eastAsia="zh-CN" w:bidi="ar-SA"/>
        </w:rPr>
        <w:t>地方病各病种分布及危害状况。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_GB2312" w:hAnsi="Calibri" w:eastAsia="宋体" w:cs="Times New Roman"/>
          <w:kern w:val="2"/>
          <w:sz w:val="24"/>
          <w:szCs w:val="24"/>
          <w:lang w:val="en-US" w:eastAsia="zh-CN" w:bidi="ar-SA"/>
        </w:rPr>
      </w:pPr>
      <w:r>
        <w:rPr>
          <w:rFonts w:hint="eastAsia" w:ascii="仿宋_GB2312" w:hAnsi="Calibri" w:eastAsia="宋体" w:cs="Times New Roman"/>
          <w:kern w:val="2"/>
          <w:sz w:val="24"/>
          <w:szCs w:val="24"/>
          <w:lang w:val="en-US" w:eastAsia="zh-CN" w:bidi="ar-SA"/>
        </w:rPr>
        <w:t>1.大骨节病：</w:t>
      </w:r>
      <w:r>
        <w:rPr>
          <w:rFonts w:hint="eastAsia" w:ascii="仿宋_GB2312" w:hAnsi="Calibri" w:cs="Times New Roman"/>
          <w:kern w:val="2"/>
          <w:sz w:val="24"/>
          <w:szCs w:val="24"/>
          <w:lang w:val="en-US" w:eastAsia="zh-CN" w:bidi="ar-SA"/>
        </w:rPr>
        <w:t>确诊</w:t>
      </w:r>
      <w:r>
        <w:rPr>
          <w:rFonts w:hint="eastAsia" w:ascii="仿宋_GB2312" w:hAnsi="Calibri" w:eastAsia="宋体" w:cs="Times New Roman"/>
          <w:kern w:val="2"/>
          <w:sz w:val="24"/>
          <w:szCs w:val="24"/>
          <w:lang w:val="en-US" w:eastAsia="zh-CN" w:bidi="ar-SA"/>
        </w:rPr>
        <w:t>大骨节病患者31.6万例，儿童大骨节病患者19220例，临床患病率2.32%（Ⅰ度以上患病率0.27%）。</w:t>
      </w:r>
    </w:p>
    <w:p>
      <w:pPr>
        <w:pStyle w:val="4"/>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outlineLvl w:val="1"/>
        <w:rPr>
          <w:rFonts w:hint="eastAsia" w:hAnsi="Calibri" w:eastAsia="宋体" w:cs="Times New Roman"/>
          <w:kern w:val="2"/>
          <w:sz w:val="24"/>
          <w:szCs w:val="24"/>
          <w:lang w:val="en-US" w:eastAsia="zh-CN" w:bidi="ar-SA"/>
        </w:rPr>
      </w:pPr>
      <w:r>
        <w:rPr>
          <w:rFonts w:hint="eastAsia" w:ascii="仿宋_GB2312" w:hAnsi="Calibri" w:eastAsia="宋体" w:cs="Times New Roman"/>
          <w:kern w:val="2"/>
          <w:sz w:val="24"/>
          <w:szCs w:val="24"/>
          <w:lang w:val="en-US" w:eastAsia="zh-CN" w:bidi="ar-SA"/>
        </w:rPr>
        <w:t>2.克山病：1957～2010年，全省发生急型、亚急型克山病28181例，重病区黄龙县</w:t>
      </w:r>
      <w:r>
        <w:rPr>
          <w:rFonts w:hint="eastAsia" w:hAnsi="Calibri" w:cs="Times New Roman"/>
          <w:kern w:val="2"/>
          <w:sz w:val="24"/>
          <w:szCs w:val="24"/>
          <w:lang w:val="en-US" w:eastAsia="zh-CN" w:bidi="ar-SA"/>
        </w:rPr>
        <w:t>年</w:t>
      </w:r>
      <w:r>
        <w:rPr>
          <w:rFonts w:hint="eastAsia" w:ascii="仿宋_GB2312" w:hAnsi="Calibri" w:eastAsia="宋体" w:cs="Times New Roman"/>
          <w:kern w:val="2"/>
          <w:sz w:val="24"/>
          <w:szCs w:val="24"/>
          <w:lang w:val="en-US" w:eastAsia="zh-CN" w:bidi="ar-SA"/>
        </w:rPr>
        <w:t>发病率超过1 000/10万。</w:t>
      </w:r>
    </w:p>
    <w:p>
      <w:pPr>
        <w:pStyle w:val="4"/>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outlineLvl w:val="1"/>
        <w:rPr>
          <w:rFonts w:hint="eastAsia" w:ascii="仿宋_GB2312" w:hAnsi="Calibri" w:eastAsia="宋体" w:cs="Times New Roman"/>
          <w:kern w:val="2"/>
          <w:sz w:val="24"/>
          <w:szCs w:val="24"/>
          <w:lang w:val="en-US" w:eastAsia="zh-CN" w:bidi="ar-SA"/>
        </w:rPr>
      </w:pPr>
      <w:r>
        <w:rPr>
          <w:rFonts w:hint="eastAsia" w:hAnsi="Calibri" w:eastAsia="宋体" w:cs="Times New Roman"/>
          <w:kern w:val="2"/>
          <w:sz w:val="24"/>
          <w:szCs w:val="24"/>
          <w:lang w:val="en-US" w:eastAsia="zh-CN" w:bidi="ar-SA"/>
        </w:rPr>
        <w:t>3.</w:t>
      </w:r>
      <w:r>
        <w:rPr>
          <w:rFonts w:hint="eastAsia" w:ascii="仿宋_GB2312" w:hAnsi="Calibri" w:eastAsia="宋体" w:cs="Times New Roman"/>
          <w:kern w:val="2"/>
          <w:sz w:val="24"/>
          <w:szCs w:val="24"/>
          <w:lang w:val="en-US" w:eastAsia="zh-CN" w:bidi="ar-SA"/>
        </w:rPr>
        <w:t>碘缺乏病：</w:t>
      </w:r>
      <w:r>
        <w:rPr>
          <w:rFonts w:hint="eastAsia" w:hAnsi="Calibri" w:cs="Times New Roman"/>
          <w:kern w:val="2"/>
          <w:sz w:val="24"/>
          <w:szCs w:val="24"/>
          <w:lang w:val="en-US" w:eastAsia="zh-CN" w:bidi="ar-SA"/>
        </w:rPr>
        <w:t>确诊</w:t>
      </w:r>
      <w:r>
        <w:rPr>
          <w:rFonts w:hint="eastAsia" w:ascii="仿宋_GB2312" w:hAnsi="Calibri" w:eastAsia="宋体" w:cs="Times New Roman"/>
          <w:kern w:val="2"/>
          <w:sz w:val="24"/>
          <w:szCs w:val="24"/>
          <w:lang w:val="en-US" w:eastAsia="zh-CN" w:bidi="ar-SA"/>
        </w:rPr>
        <w:t>地甲病患者876318例，平均患病率5.14%</w:t>
      </w:r>
      <w:r>
        <w:rPr>
          <w:rFonts w:hint="eastAsia" w:hAnsi="Calibri" w:cs="Times New Roman"/>
          <w:kern w:val="2"/>
          <w:sz w:val="24"/>
          <w:szCs w:val="24"/>
          <w:lang w:val="en-US" w:eastAsia="zh-CN" w:bidi="ar-SA"/>
        </w:rPr>
        <w:t>。克汀病患</w:t>
      </w:r>
      <w:r>
        <w:rPr>
          <w:rFonts w:hint="eastAsia" w:ascii="仿宋_GB2312" w:hAnsi="Calibri" w:eastAsia="宋体" w:cs="Times New Roman"/>
          <w:kern w:val="2"/>
          <w:sz w:val="24"/>
          <w:szCs w:val="24"/>
          <w:lang w:val="en-US" w:eastAsia="zh-CN" w:bidi="ar-SA"/>
        </w:rPr>
        <w:t>者32422例，平均患病率0.14%。</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仿宋_GB2312" w:hAnsi="Calibri" w:cs="Times New Roman"/>
          <w:kern w:val="2"/>
          <w:sz w:val="24"/>
          <w:szCs w:val="24"/>
          <w:lang w:val="en-US" w:eastAsia="zh-CN" w:bidi="ar-SA"/>
        </w:rPr>
      </w:pPr>
      <w:r>
        <w:rPr>
          <w:rFonts w:hint="eastAsia" w:ascii="仿宋_GB2312" w:hAnsi="Calibri" w:cs="Times New Roman"/>
          <w:kern w:val="2"/>
          <w:sz w:val="24"/>
          <w:szCs w:val="24"/>
          <w:lang w:val="en-US" w:eastAsia="zh-CN" w:bidi="ar-SA"/>
        </w:rPr>
        <w:t>4</w:t>
      </w:r>
      <w:r>
        <w:rPr>
          <w:rFonts w:hint="eastAsia" w:ascii="仿宋_GB2312" w:hAnsi="Calibri" w:eastAsia="宋体" w:cs="Times New Roman"/>
          <w:kern w:val="2"/>
          <w:sz w:val="24"/>
          <w:szCs w:val="24"/>
          <w:lang w:val="en-US" w:eastAsia="zh-CN" w:bidi="ar-SA"/>
        </w:rPr>
        <w:t>.地方性氟中毒：分为饮水型和燃煤型</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其中饮水型氟中毒历史受危害人口500万，氟骨症病人14万，氟斑牙103.9万</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燃煤型氟中毒历史受危害人口140万，氟骨症患者5131例，氟斑牙患者10.63万</w:t>
      </w:r>
      <w:r>
        <w:rPr>
          <w:rFonts w:hint="eastAsia" w:ascii="仿宋_GB2312" w:hAnsi="Calibri" w:cs="Times New Roman"/>
          <w:kern w:val="2"/>
          <w:sz w:val="24"/>
          <w:szCs w:val="24"/>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default" w:hAnsi="Calibri" w:cs="Times New Roman"/>
          <w:kern w:val="2"/>
          <w:sz w:val="24"/>
          <w:szCs w:val="24"/>
          <w:lang w:val="en-US" w:eastAsia="zh-CN" w:bidi="ar-SA"/>
        </w:rPr>
      </w:pPr>
      <w:r>
        <w:rPr>
          <w:rFonts w:hint="eastAsia" w:ascii="仿宋_GB2312" w:hAnsi="Calibri" w:cs="Times New Roman"/>
          <w:b/>
          <w:bCs/>
          <w:kern w:val="2"/>
          <w:sz w:val="24"/>
          <w:szCs w:val="24"/>
          <w:lang w:val="en-US" w:eastAsia="zh-CN" w:bidi="ar-SA"/>
        </w:rPr>
        <w:t>（二）</w:t>
      </w:r>
      <w:r>
        <w:rPr>
          <w:rFonts w:hint="eastAsia" w:hAnsi="Calibri" w:cs="Times New Roman"/>
          <w:b/>
          <w:bCs/>
          <w:kern w:val="2"/>
          <w:sz w:val="24"/>
          <w:szCs w:val="24"/>
          <w:lang w:val="en-US" w:eastAsia="zh-CN" w:bidi="ar-SA"/>
        </w:rPr>
        <w:t>开展了病因及相关影响因素、防治策略研究，成果显著。</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_GB2312" w:hAnsi="Calibri" w:cs="Times New Roman"/>
          <w:kern w:val="2"/>
          <w:sz w:val="24"/>
          <w:szCs w:val="24"/>
          <w:lang w:val="en-US" w:eastAsia="zh-CN" w:bidi="ar-SA"/>
        </w:rPr>
      </w:pPr>
      <w:r>
        <w:rPr>
          <w:rFonts w:hint="eastAsia" w:ascii="仿宋_GB2312" w:hAnsi="Calibri" w:cs="Times New Roman"/>
          <w:kern w:val="2"/>
          <w:sz w:val="24"/>
          <w:szCs w:val="24"/>
          <w:lang w:val="en-US" w:eastAsia="zh-CN" w:bidi="ar-SA"/>
        </w:rPr>
        <w:t>1.</w:t>
      </w:r>
      <w:r>
        <w:rPr>
          <w:rFonts w:hint="eastAsia" w:ascii="仿宋_GB2312" w:hAnsi="Calibri" w:eastAsia="宋体" w:cs="Times New Roman"/>
          <w:kern w:val="2"/>
          <w:sz w:val="24"/>
          <w:szCs w:val="24"/>
          <w:lang w:val="en-US" w:eastAsia="zh-CN" w:bidi="ar-SA"/>
        </w:rPr>
        <w:t>开展病</w:t>
      </w:r>
      <w:r>
        <w:rPr>
          <w:rFonts w:hint="eastAsia" w:ascii="仿宋_GB2312" w:hAnsi="Calibri" w:cs="Times New Roman"/>
          <w:kern w:val="2"/>
          <w:sz w:val="24"/>
          <w:szCs w:val="24"/>
          <w:lang w:val="en-US" w:eastAsia="zh-CN" w:bidi="ar-SA"/>
        </w:rPr>
        <w:t>因</w:t>
      </w:r>
      <w:r>
        <w:rPr>
          <w:rFonts w:hint="eastAsia" w:ascii="仿宋_GB2312" w:hAnsi="Calibri" w:eastAsia="宋体" w:cs="Times New Roman"/>
          <w:kern w:val="2"/>
          <w:sz w:val="24"/>
          <w:szCs w:val="24"/>
          <w:lang w:val="en-US" w:eastAsia="zh-CN" w:bidi="ar-SA"/>
        </w:rPr>
        <w:t>及相关因素调查</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内外环境研究</w:t>
      </w:r>
      <w:r>
        <w:rPr>
          <w:rFonts w:hint="eastAsia" w:ascii="仿宋_GB2312" w:hAnsi="Calibri" w:cs="Times New Roman"/>
          <w:kern w:val="2"/>
          <w:sz w:val="24"/>
          <w:szCs w:val="24"/>
          <w:lang w:val="en-US" w:eastAsia="zh-CN" w:bidi="ar-SA"/>
        </w:rPr>
        <w:t>，明确了</w:t>
      </w:r>
      <w:r>
        <w:rPr>
          <w:rFonts w:hint="eastAsia" w:ascii="仿宋_GB2312" w:hAnsi="Calibri" w:eastAsia="宋体" w:cs="Times New Roman"/>
          <w:kern w:val="2"/>
          <w:sz w:val="24"/>
          <w:szCs w:val="24"/>
          <w:lang w:val="en-US" w:eastAsia="zh-CN" w:bidi="ar-SA"/>
        </w:rPr>
        <w:t>病区分布</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流行特点</w:t>
      </w:r>
      <w:r>
        <w:rPr>
          <w:rFonts w:hint="eastAsia" w:ascii="仿宋_GB2312" w:hAnsi="Calibri" w:cs="Times New Roman"/>
          <w:kern w:val="2"/>
          <w:sz w:val="24"/>
          <w:szCs w:val="24"/>
          <w:lang w:val="en-US" w:eastAsia="zh-CN" w:bidi="ar-SA"/>
        </w:rPr>
        <w:t>及病情危害。</w:t>
      </w:r>
      <w:r>
        <w:rPr>
          <w:rFonts w:hint="eastAsia" w:ascii="仿宋_GB2312" w:hAnsi="Calibri" w:eastAsia="宋体" w:cs="Times New Roman"/>
          <w:kern w:val="2"/>
          <w:sz w:val="24"/>
          <w:szCs w:val="24"/>
          <w:lang w:val="en-US" w:eastAsia="zh-CN" w:bidi="ar-SA"/>
        </w:rPr>
        <w:t>首次从宏观地理环境因素和微观生态化学环境因素方面查清了水土缺硒与大骨节病和克山病病情的关系；</w:t>
      </w:r>
      <w:r>
        <w:rPr>
          <w:rFonts w:hint="eastAsia" w:ascii="仿宋_GB2312" w:hAnsi="Calibri" w:cs="Times New Roman"/>
          <w:kern w:val="2"/>
          <w:sz w:val="24"/>
          <w:szCs w:val="24"/>
          <w:lang w:val="en-US" w:eastAsia="zh-CN" w:bidi="ar-SA"/>
        </w:rPr>
        <w:t>明确我省地方性氟中毒存在由饮水氟过量引起的饮水性氟中毒和由燃烧氟含量超标的石煤导致空气、食物氟过量引起的燃煤型氟中毒两种类型；开展水碘筛查和病区调查，明确区分碘缺乏病区和水源性高碘病区，确保不同人群采用不同的防治措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仿宋_GB2312" w:hAnsi="Calibri" w:cs="Times New Roman"/>
          <w:kern w:val="2"/>
          <w:sz w:val="24"/>
          <w:szCs w:val="24"/>
          <w:lang w:val="en-US" w:eastAsia="zh-CN" w:bidi="ar-SA"/>
        </w:rPr>
      </w:pPr>
      <w:r>
        <w:rPr>
          <w:rFonts w:hint="eastAsia" w:ascii="仿宋_GB2312" w:hAnsi="Calibri" w:cs="Times New Roman"/>
          <w:kern w:val="2"/>
          <w:sz w:val="24"/>
          <w:szCs w:val="24"/>
          <w:lang w:val="en-US" w:eastAsia="zh-CN" w:bidi="ar-SA"/>
        </w:rPr>
        <w:t>2.开展防治措施研究，为大骨节病、克山病、碘缺乏病、地方型氟中毒等防治策略制定提供科学依据。提出了大骨节病、克山病的补硒及“吃杂、改水、换粮、讲卫生”综合防治措施及防治效果评估研究；开展全民食盐加碘的措施评价研究和碘盐含量的动态调整研究；对降氟改水、改炉改灶等地方性氟中毒防治措施开展效果评估研究。为地方病防治策略制定提供科学依据，确保地方病防治效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_GB2312" w:hAnsi="Calibri" w:eastAsia="宋体" w:cs="Times New Roman"/>
          <w:kern w:val="2"/>
          <w:sz w:val="24"/>
          <w:szCs w:val="24"/>
          <w:lang w:val="en-US" w:eastAsia="zh-CN" w:bidi="ar-SA"/>
        </w:rPr>
      </w:pPr>
      <w:r>
        <w:rPr>
          <w:rFonts w:hint="eastAsia" w:ascii="仿宋_GB2312" w:hAnsi="Calibri" w:cs="Times New Roman"/>
          <w:kern w:val="2"/>
          <w:sz w:val="24"/>
          <w:szCs w:val="24"/>
          <w:lang w:val="en-US" w:eastAsia="zh-CN" w:bidi="ar-SA"/>
        </w:rPr>
        <w:t>3.2012年我省推行“一盐防三病”（碘缺乏病、大骨节病、克山病）防治措施近二十年后，创造性提出全面停止食盐加硒措施，并开展停硒措施前后人群硒营养水平监测和病情跟踪调查，停止硒盐防治措施至今，我省大骨节病临床和X线检测均未发现新发病例，在降低人群硒补充过量的风险的同时维持了大骨节病、克山病防治效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outlineLvl w:val="1"/>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4.在大骨节病发病机制基因组学研究方面取得新突破。</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1"/>
        <w:rPr>
          <w:rFonts w:hint="default" w:ascii="Times New Roman" w:hAnsi="Times New Roman" w:eastAsia="宋体" w:cs="Times New Roman"/>
          <w:b w:val="0"/>
          <w:bCs w:val="0"/>
          <w:color w:val="0000FF"/>
          <w:lang w:val="en-US" w:eastAsia="zh-CN"/>
        </w:rPr>
      </w:pPr>
      <w:r>
        <w:rPr>
          <w:rFonts w:hint="eastAsia" w:cs="Times New Roman"/>
          <w:kern w:val="2"/>
          <w:sz w:val="24"/>
          <w:lang w:val="en-US" w:eastAsia="zh-CN" w:bidi="ar-SA"/>
        </w:rPr>
        <w:t>（1）</w:t>
      </w:r>
      <w:r>
        <w:rPr>
          <w:rFonts w:hint="eastAsia" w:ascii="仿宋_GB2312" w:hAnsi="Times New Roman" w:eastAsia="宋体" w:cs="Times New Roman"/>
          <w:kern w:val="2"/>
          <w:sz w:val="24"/>
          <w:lang w:val="en-US" w:eastAsia="zh-CN" w:bidi="ar-SA"/>
        </w:rPr>
        <w:t>RNA-seq</w:t>
      </w:r>
      <w:r>
        <w:rPr>
          <w:rFonts w:hint="eastAsia" w:cs="Times New Roman"/>
          <w:kern w:val="2"/>
          <w:sz w:val="24"/>
          <w:lang w:val="en-US" w:eastAsia="zh-CN" w:bidi="ar-SA"/>
        </w:rPr>
        <w:t>（转录组基因测序）</w:t>
      </w:r>
      <w:r>
        <w:rPr>
          <w:rFonts w:hint="eastAsia" w:ascii="仿宋_GB2312" w:hAnsi="Times New Roman" w:eastAsia="宋体" w:cs="Times New Roman"/>
          <w:kern w:val="2"/>
          <w:sz w:val="24"/>
          <w:lang w:val="en-US" w:eastAsia="zh-CN" w:bidi="ar-SA"/>
        </w:rPr>
        <w:t>分析临床症状相似的大骨节病（KBD）和类风湿关节炎（RA）软骨损伤的发病机制，发现与RA相比，KBD中有1568个显著的DEG（232个上调基因和1336个下调基因）。确定了KBD中九个重要生物过程（BPs）、八个分子功能（MFs）和五个细胞成分（CCs），并在RA中发现了排名前十位的重要BPs、MFs和CCs。确定了与KBD相关的氨基酸的生物合成，RA涉及趋化因子信号通路、核因子-κB信号通路、B细胞受体信号通路、白细胞跨内皮迁移和破骨细胞分化。通过RNA-seq</w:t>
      </w:r>
      <w:r>
        <w:rPr>
          <w:rFonts w:hint="eastAsia" w:ascii="仿宋_GB2312" w:hAnsi="Times New Roman" w:eastAsia="宋体" w:cs="Times New Roman"/>
          <w:b/>
          <w:bCs/>
          <w:kern w:val="2"/>
          <w:sz w:val="24"/>
          <w:szCs w:val="22"/>
          <w:lang w:val="en-US" w:eastAsia="zh-CN" w:bidi="ar-SA"/>
        </w:rPr>
        <w:t>首次发现蛋白多糖介导的代谢紊乱导致大骨节病的发生</w:t>
      </w:r>
      <w:r>
        <w:rPr>
          <w:rFonts w:hint="eastAsia" w:ascii="仿宋_GB2312" w:hAnsi="Times New Roman" w:eastAsia="宋体" w:cs="Times New Roman"/>
          <w:kern w:val="2"/>
          <w:sz w:val="24"/>
          <w:lang w:val="en-US" w:eastAsia="zh-CN" w:bidi="ar-SA"/>
        </w:rPr>
        <w:t>，而免疫失调明显参与RA的发病机制。</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1"/>
        <w:rPr>
          <w:rFonts w:hint="default" w:ascii="仿宋_GB2312" w:hAnsi="Calibri" w:eastAsia="宋体" w:cs="Times New Roman"/>
          <w:color w:val="0000FF"/>
          <w:kern w:val="2"/>
          <w:sz w:val="24"/>
          <w:szCs w:val="24"/>
          <w:lang w:val="en-US" w:eastAsia="zh-CN" w:bidi="ar-SA"/>
        </w:rPr>
      </w:pPr>
      <w:r>
        <w:rPr>
          <w:rFonts w:hint="eastAsia" w:ascii="仿宋_GB2312" w:hAnsi="Times New Roman" w:eastAsia="宋体" w:cs="Times New Roman"/>
          <w:kern w:val="2"/>
          <w:sz w:val="24"/>
          <w:lang w:val="en-US" w:eastAsia="zh-CN" w:bidi="ar-SA"/>
        </w:rPr>
        <w:t>（</w:t>
      </w:r>
      <w:r>
        <w:rPr>
          <w:rFonts w:hint="eastAsia" w:cs="Times New Roman"/>
          <w:kern w:val="2"/>
          <w:sz w:val="24"/>
          <w:lang w:val="en-US" w:eastAsia="zh-CN" w:bidi="ar-SA"/>
        </w:rPr>
        <w:t>2</w:t>
      </w:r>
      <w:r>
        <w:rPr>
          <w:rFonts w:hint="eastAsia" w:ascii="仿宋_GB2312" w:hAnsi="Times New Roman" w:eastAsia="宋体" w:cs="Times New Roman"/>
          <w:kern w:val="2"/>
          <w:sz w:val="24"/>
          <w:lang w:val="en-US" w:eastAsia="zh-CN" w:bidi="ar-SA"/>
        </w:rPr>
        <w:t>）通过比较大骨节病、骨关节炎和类风湿关节炎microRNA表达谱，发现KBD的miRNA表达谱发生了改变，这为大骨节病发病的机制研究提供了新的线索。</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_GB2312" w:hAnsi="Calibri" w:eastAsia="宋体" w:cs="Times New Roman"/>
          <w:kern w:val="2"/>
          <w:sz w:val="24"/>
          <w:szCs w:val="24"/>
          <w:lang w:val="en-US" w:eastAsia="zh-CN" w:bidi="ar-SA"/>
        </w:rPr>
      </w:pPr>
      <w:r>
        <w:rPr>
          <w:rFonts w:hint="eastAsia" w:ascii="仿宋_GB2312" w:hAnsi="Calibri" w:cs="Times New Roman"/>
          <w:kern w:val="2"/>
          <w:sz w:val="24"/>
          <w:szCs w:val="24"/>
          <w:lang w:val="en-US" w:eastAsia="zh-CN" w:bidi="ar-SA"/>
        </w:rPr>
        <w:t>5</w:t>
      </w:r>
      <w:r>
        <w:rPr>
          <w:rFonts w:hint="eastAsia" w:ascii="仿宋_GB2312" w:hAnsi="Calibri" w:eastAsia="宋体" w:cs="Times New Roman"/>
          <w:kern w:val="2"/>
          <w:sz w:val="24"/>
          <w:szCs w:val="24"/>
          <w:lang w:val="en-US" w:eastAsia="zh-CN" w:bidi="ar-SA"/>
        </w:rPr>
        <w:t>.利用互联网+及5G技术构建地方病防治新模式</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完成</w:t>
      </w:r>
      <w:r>
        <w:rPr>
          <w:rFonts w:hint="eastAsia" w:ascii="仿宋_GB2312" w:hAnsi="Times New Roman" w:eastAsia="宋体" w:cs="Times New Roman"/>
          <w:b/>
          <w:bCs/>
          <w:kern w:val="2"/>
          <w:sz w:val="24"/>
          <w:szCs w:val="22"/>
          <w:lang w:val="en-US" w:eastAsia="zh-CN" w:bidi="ar-SA"/>
        </w:rPr>
        <w:t>全国首个地方病病区3D电子信息地图</w:t>
      </w:r>
      <w:r>
        <w:rPr>
          <w:rFonts w:hint="eastAsia" w:ascii="仿宋_GB2312" w:cs="Times New Roman"/>
          <w:b/>
          <w:bCs/>
          <w:kern w:val="2"/>
          <w:sz w:val="24"/>
          <w:szCs w:val="22"/>
          <w:lang w:val="en-US" w:eastAsia="zh-CN" w:bidi="ar-SA"/>
        </w:rPr>
        <w:t>，</w:t>
      </w:r>
      <w:r>
        <w:rPr>
          <w:rFonts w:hint="eastAsia" w:ascii="仿宋_GB2312" w:hAnsi="Times New Roman" w:eastAsia="宋体" w:cs="Times New Roman"/>
          <w:b/>
          <w:bCs/>
          <w:kern w:val="2"/>
          <w:sz w:val="24"/>
          <w:lang w:val="en-US" w:eastAsia="zh-CN" w:bidi="ar-SA"/>
        </w:rPr>
        <w:t>全国率先建立地方病患者信息管理平台</w:t>
      </w:r>
      <w:r>
        <w:rPr>
          <w:rFonts w:hint="eastAsia" w:ascii="仿宋_GB2312" w:hAnsi="Calibri" w:eastAsia="宋体" w:cs="Times New Roman"/>
          <w:kern w:val="2"/>
          <w:sz w:val="24"/>
          <w:szCs w:val="24"/>
          <w:lang w:val="en-US" w:eastAsia="zh-CN" w:bidi="ar-SA"/>
        </w:rPr>
        <w:t>。</w:t>
      </w:r>
    </w:p>
    <w:p>
      <w:pPr>
        <w:spacing w:line="360" w:lineRule="atLeast"/>
        <w:rPr>
          <w:rFonts w:hint="eastAsia" w:ascii="仿宋_GB2312" w:hAnsi="Calibri" w:cs="Times New Roman"/>
          <w:kern w:val="2"/>
          <w:sz w:val="24"/>
          <w:szCs w:val="24"/>
          <w:lang w:val="en-US" w:eastAsia="zh-CN" w:bidi="ar-SA"/>
        </w:rPr>
      </w:pPr>
      <w:r>
        <w:rPr>
          <w:rFonts w:hint="eastAsia" w:ascii="仿宋_GB2312" w:eastAsia="宋体" w:cs="Times New Roman"/>
          <w:kern w:val="2"/>
          <w:sz w:val="24"/>
          <w:szCs w:val="24"/>
          <w:lang w:val="en-US" w:eastAsia="zh-CN" w:bidi="ar-SA"/>
        </w:rPr>
        <w:t>经过七十年有效</w:t>
      </w:r>
      <w:r>
        <w:rPr>
          <w:rFonts w:hint="eastAsia" w:ascii="仿宋_GB2312" w:cs="Times New Roman"/>
          <w:kern w:val="2"/>
          <w:sz w:val="24"/>
          <w:szCs w:val="24"/>
          <w:lang w:val="en-US" w:eastAsia="zh-CN" w:bidi="ar-SA"/>
        </w:rPr>
        <w:t>的</w:t>
      </w:r>
      <w:r>
        <w:rPr>
          <w:rFonts w:hint="eastAsia" w:cs="Times New Roman"/>
          <w:kern w:val="2"/>
          <w:sz w:val="24"/>
          <w:szCs w:val="24"/>
          <w:lang w:val="en-US" w:eastAsia="zh-CN" w:bidi="ar-SA"/>
        </w:rPr>
        <w:t>地方病</w:t>
      </w:r>
      <w:r>
        <w:rPr>
          <w:rFonts w:hint="eastAsia" w:ascii="仿宋_GB2312" w:eastAsia="宋体" w:cs="Times New Roman"/>
          <w:kern w:val="2"/>
          <w:sz w:val="24"/>
          <w:szCs w:val="24"/>
          <w:lang w:val="en-US" w:eastAsia="zh-CN" w:bidi="ar-SA"/>
        </w:rPr>
        <w:t>本底研究和防治措施实施，</w:t>
      </w:r>
      <w:r>
        <w:rPr>
          <w:rFonts w:hint="eastAsia" w:cs="Times New Roman"/>
          <w:kern w:val="2"/>
          <w:sz w:val="24"/>
          <w:szCs w:val="24"/>
          <w:lang w:val="en-US" w:eastAsia="zh-CN" w:bidi="ar-SA"/>
        </w:rPr>
        <w:t>基本消除了地方病危害。</w:t>
      </w:r>
      <w:r>
        <w:rPr>
          <w:rFonts w:hint="eastAsia" w:ascii="仿宋_GB2312" w:hAnsi="Calibri" w:eastAsia="宋体" w:cs="Times New Roman"/>
          <w:kern w:val="2"/>
          <w:sz w:val="24"/>
          <w:szCs w:val="24"/>
          <w:lang w:val="en-US" w:eastAsia="zh-CN" w:bidi="ar-SA"/>
        </w:rPr>
        <w:t>大骨节病</w:t>
      </w:r>
      <w:r>
        <w:rPr>
          <w:rFonts w:hint="eastAsia" w:ascii="仿宋_GB2312" w:hAnsi="Calibri" w:cs="Times New Roman"/>
          <w:kern w:val="2"/>
          <w:sz w:val="24"/>
          <w:szCs w:val="24"/>
          <w:lang w:val="en-US" w:eastAsia="zh-CN" w:bidi="ar-SA"/>
        </w:rPr>
        <w:t>连续十年无新发病例</w:t>
      </w:r>
      <w:r>
        <w:rPr>
          <w:rFonts w:hint="eastAsia" w:ascii="仿宋_GB2312" w:hAnsi="Calibri" w:eastAsia="宋体" w:cs="Times New Roman"/>
          <w:kern w:val="2"/>
          <w:sz w:val="24"/>
          <w:szCs w:val="24"/>
          <w:lang w:val="en-US" w:eastAsia="zh-CN" w:bidi="ar-SA"/>
        </w:rPr>
        <w:t>，所有病区县达到持续消除</w:t>
      </w:r>
      <w:r>
        <w:rPr>
          <w:rFonts w:hint="eastAsia" w:ascii="仿宋_GB2312" w:hAnsi="Calibri" w:cs="Times New Roman"/>
          <w:kern w:val="2"/>
          <w:sz w:val="24"/>
          <w:szCs w:val="24"/>
          <w:lang w:val="en-US" w:eastAsia="zh-CN" w:bidi="ar-SA"/>
        </w:rPr>
        <w:t>状态；</w:t>
      </w:r>
      <w:r>
        <w:rPr>
          <w:rFonts w:hint="eastAsia" w:ascii="仿宋_GB2312" w:hAnsi="Calibri" w:eastAsia="宋体" w:cs="Times New Roman"/>
          <w:kern w:val="2"/>
          <w:sz w:val="24"/>
          <w:szCs w:val="24"/>
          <w:lang w:val="en-US" w:eastAsia="zh-CN" w:bidi="ar-SA"/>
        </w:rPr>
        <w:t>克山病</w:t>
      </w:r>
      <w:r>
        <w:rPr>
          <w:rFonts w:hint="eastAsia" w:hAnsi="Calibri" w:cs="Times New Roman"/>
          <w:kern w:val="2"/>
          <w:sz w:val="24"/>
          <w:szCs w:val="24"/>
          <w:lang w:val="en-US" w:eastAsia="zh-CN" w:bidi="ar-SA"/>
        </w:rPr>
        <w:t>无</w:t>
      </w:r>
      <w:r>
        <w:rPr>
          <w:rFonts w:hint="eastAsia" w:hAnsi="Calibri" w:eastAsia="宋体" w:cs="Times New Roman"/>
          <w:kern w:val="2"/>
          <w:sz w:val="24"/>
          <w:szCs w:val="24"/>
          <w:lang w:val="en-US" w:eastAsia="zh-CN" w:bidi="ar-SA"/>
        </w:rPr>
        <w:t>急型、亚急型</w:t>
      </w:r>
      <w:r>
        <w:rPr>
          <w:rFonts w:hint="eastAsia" w:hAnsi="Calibri" w:cs="Times New Roman"/>
          <w:kern w:val="2"/>
          <w:sz w:val="24"/>
          <w:szCs w:val="24"/>
          <w:lang w:val="en-US" w:eastAsia="zh-CN" w:bidi="ar-SA"/>
        </w:rPr>
        <w:t>新发病例</w:t>
      </w:r>
      <w:r>
        <w:rPr>
          <w:rFonts w:hint="eastAsia" w:hAnsi="Calibri" w:eastAsia="宋体" w:cs="Times New Roman"/>
          <w:kern w:val="2"/>
          <w:sz w:val="24"/>
          <w:szCs w:val="24"/>
          <w:lang w:val="en-US" w:eastAsia="zh-CN" w:bidi="ar-SA"/>
        </w:rPr>
        <w:t>，潜在型患病率低于5/万，</w:t>
      </w:r>
      <w:r>
        <w:rPr>
          <w:rFonts w:hint="eastAsia" w:ascii="仿宋_GB2312" w:hAnsi="Calibri" w:eastAsia="宋体" w:cs="Times New Roman"/>
          <w:kern w:val="2"/>
          <w:sz w:val="24"/>
          <w:szCs w:val="24"/>
          <w:lang w:val="en-US" w:eastAsia="zh-CN" w:bidi="ar-SA"/>
        </w:rPr>
        <w:t>达到消除</w:t>
      </w:r>
      <w:r>
        <w:rPr>
          <w:rFonts w:hint="eastAsia" w:hAnsi="Calibri" w:cs="Times New Roman"/>
          <w:kern w:val="2"/>
          <w:sz w:val="24"/>
          <w:szCs w:val="24"/>
          <w:lang w:val="en-US" w:eastAsia="zh-CN" w:bidi="ar-SA"/>
        </w:rPr>
        <w:t>状态</w:t>
      </w:r>
      <w:r>
        <w:rPr>
          <w:rFonts w:hint="eastAsia" w:ascii="仿宋_GB2312" w:hAnsi="Calibri" w:cs="Times New Roman"/>
          <w:kern w:val="2"/>
          <w:sz w:val="24"/>
          <w:szCs w:val="24"/>
          <w:lang w:val="en-US" w:eastAsia="zh-CN" w:bidi="ar-SA"/>
        </w:rPr>
        <w:t>；</w:t>
      </w:r>
      <w:r>
        <w:rPr>
          <w:rFonts w:hint="eastAsia" w:ascii="仿宋_GB2312" w:hAnsi="Calibri" w:eastAsia="宋体" w:cs="Times New Roman"/>
          <w:kern w:val="2"/>
          <w:sz w:val="24"/>
          <w:szCs w:val="24"/>
          <w:lang w:val="en-US" w:eastAsia="zh-CN" w:bidi="ar-SA"/>
        </w:rPr>
        <w:t>碘缺乏病达到持续消除</w:t>
      </w:r>
      <w:r>
        <w:rPr>
          <w:rFonts w:hint="eastAsia" w:ascii="仿宋_GB2312" w:hAnsi="Calibri" w:cs="Times New Roman"/>
          <w:kern w:val="2"/>
          <w:sz w:val="24"/>
          <w:szCs w:val="24"/>
          <w:lang w:val="en-US" w:eastAsia="zh-CN" w:bidi="ar-SA"/>
        </w:rPr>
        <w:t>状态；</w:t>
      </w:r>
      <w:r>
        <w:rPr>
          <w:rFonts w:hint="eastAsia" w:ascii="仿宋_GB2312" w:hAnsi="Calibri" w:eastAsia="宋体" w:cs="Times New Roman"/>
          <w:kern w:val="2"/>
          <w:sz w:val="24"/>
          <w:szCs w:val="24"/>
          <w:lang w:val="en-US" w:eastAsia="zh-CN" w:bidi="ar-SA"/>
        </w:rPr>
        <w:t>饮水型氟中毒达到控制</w:t>
      </w:r>
      <w:r>
        <w:rPr>
          <w:rFonts w:hint="eastAsia" w:ascii="仿宋_GB2312" w:hAnsi="Calibri" w:cs="Times New Roman"/>
          <w:kern w:val="2"/>
          <w:sz w:val="24"/>
          <w:szCs w:val="24"/>
          <w:lang w:val="en-US" w:eastAsia="zh-CN" w:bidi="ar-SA"/>
        </w:rPr>
        <w:t>状态</w:t>
      </w:r>
      <w:r>
        <w:rPr>
          <w:rFonts w:hint="eastAsia" w:ascii="仿宋_GB2312" w:hAnsi="Calibri" w:eastAsia="宋体" w:cs="Times New Roman"/>
          <w:kern w:val="2"/>
          <w:sz w:val="24"/>
          <w:szCs w:val="24"/>
          <w:lang w:val="en-US" w:eastAsia="zh-CN" w:bidi="ar-SA"/>
        </w:rPr>
        <w:t>，燃煤型氟中毒达到消除</w:t>
      </w:r>
      <w:r>
        <w:rPr>
          <w:rFonts w:hint="eastAsia" w:ascii="仿宋_GB2312" w:hAnsi="Calibri" w:cs="Times New Roman"/>
          <w:kern w:val="2"/>
          <w:sz w:val="24"/>
          <w:szCs w:val="24"/>
          <w:lang w:val="en-US" w:eastAsia="zh-CN" w:bidi="ar-SA"/>
        </w:rPr>
        <w:t>状态</w:t>
      </w:r>
    </w:p>
    <w:p>
      <w:pPr>
        <w:spacing w:line="360" w:lineRule="atLeast"/>
        <w:rPr>
          <w:rFonts w:eastAsiaTheme="minorEastAsia"/>
          <w:b/>
          <w:sz w:val="24"/>
          <w:szCs w:val="24"/>
        </w:rPr>
      </w:pPr>
      <w:r>
        <w:rPr>
          <w:rFonts w:hint="eastAsia" w:eastAsiaTheme="minorEastAsia"/>
          <w:b/>
          <w:sz w:val="24"/>
          <w:szCs w:val="24"/>
          <w:lang w:eastAsia="zh-CN"/>
        </w:rPr>
        <w:t>三</w:t>
      </w:r>
      <w:r>
        <w:rPr>
          <w:rFonts w:hint="eastAsia" w:eastAsiaTheme="minorEastAsia"/>
          <w:b/>
          <w:sz w:val="24"/>
          <w:szCs w:val="24"/>
        </w:rPr>
        <w:t>、</w:t>
      </w:r>
      <w:r>
        <w:rPr>
          <w:rFonts w:eastAsiaTheme="minorEastAsia"/>
          <w:b/>
          <w:sz w:val="24"/>
          <w:szCs w:val="24"/>
        </w:rPr>
        <w:t>客观评价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sz w:val="24"/>
          <w:szCs w:val="24"/>
        </w:rPr>
      </w:pPr>
      <w:r>
        <w:rPr>
          <w:sz w:val="24"/>
          <w:szCs w:val="24"/>
        </w:rPr>
        <w:t>该项目是陕西省地方病防治研究所、西安交通大学三代人七十余年艰苦工作，围绕地方病各病种发病机制、流行趋势、防治措施等开展科学研究</w:t>
      </w:r>
      <w:r>
        <w:rPr>
          <w:rFonts w:hint="eastAsia"/>
          <w:sz w:val="24"/>
          <w:szCs w:val="24"/>
          <w:lang w:eastAsia="zh-CN"/>
        </w:rPr>
        <w:t>，（</w:t>
      </w:r>
      <w:r>
        <w:rPr>
          <w:rFonts w:hint="eastAsia"/>
          <w:sz w:val="24"/>
          <w:szCs w:val="24"/>
          <w:lang w:val="en-US" w:eastAsia="zh-CN"/>
        </w:rPr>
        <w:t>1）</w:t>
      </w:r>
      <w:r>
        <w:rPr>
          <w:sz w:val="24"/>
          <w:szCs w:val="24"/>
        </w:rPr>
        <w:t>明确了</w:t>
      </w:r>
      <w:r>
        <w:rPr>
          <w:rFonts w:hint="eastAsia"/>
          <w:sz w:val="24"/>
          <w:szCs w:val="24"/>
          <w:lang w:eastAsia="zh-CN"/>
        </w:rPr>
        <w:t>陕西省地方病</w:t>
      </w:r>
      <w:r>
        <w:rPr>
          <w:sz w:val="24"/>
          <w:szCs w:val="24"/>
        </w:rPr>
        <w:t>病区分布、流行特点及趋势</w:t>
      </w:r>
      <w:r>
        <w:rPr>
          <w:rFonts w:hint="eastAsia"/>
          <w:sz w:val="24"/>
          <w:szCs w:val="24"/>
          <w:lang w:eastAsia="zh-CN"/>
        </w:rPr>
        <w:t>；（</w:t>
      </w:r>
      <w:r>
        <w:rPr>
          <w:rFonts w:hint="eastAsia"/>
          <w:sz w:val="24"/>
          <w:szCs w:val="24"/>
          <w:lang w:val="en-US" w:eastAsia="zh-CN"/>
        </w:rPr>
        <w:t>2）</w:t>
      </w:r>
      <w:r>
        <w:rPr>
          <w:sz w:val="24"/>
          <w:szCs w:val="24"/>
        </w:rPr>
        <w:t>提出了行之有效的防治措施，</w:t>
      </w:r>
      <w:r>
        <w:rPr>
          <w:rFonts w:hint="eastAsia"/>
          <w:sz w:val="24"/>
          <w:szCs w:val="24"/>
          <w:lang w:eastAsia="zh-CN"/>
        </w:rPr>
        <w:t>在陕西省大骨节病区、克山病病区、碘缺乏病病区、地方性氟砷中毒病区开展防治措施研究与应用，取得了显著疗效，基本消除了地方病危害；为我省地方病防治策略实施提供科学依据，先后为省政府和省卫生健康委员会提供地方病防治实施方案和专项行动技术支撑；（</w:t>
      </w:r>
      <w:r>
        <w:rPr>
          <w:rFonts w:hint="eastAsia"/>
          <w:sz w:val="24"/>
          <w:szCs w:val="24"/>
          <w:lang w:val="en-US" w:eastAsia="zh-CN"/>
        </w:rPr>
        <w:t>3）对大骨节病等病因不明地方病开展病因学研究，取得新进展。</w:t>
      </w:r>
    </w:p>
    <w:p>
      <w:pPr>
        <w:spacing w:line="360" w:lineRule="auto"/>
        <w:rPr>
          <w:sz w:val="24"/>
          <w:szCs w:val="24"/>
        </w:rPr>
      </w:pPr>
      <w:r>
        <w:rPr>
          <w:sz w:val="24"/>
          <w:szCs w:val="24"/>
        </w:rPr>
        <w:t>经过几十年的努力，</w:t>
      </w:r>
      <w:r>
        <w:rPr>
          <w:rFonts w:hint="eastAsia"/>
          <w:sz w:val="24"/>
          <w:szCs w:val="24"/>
          <w:lang w:val="en-US" w:eastAsia="zh-CN"/>
        </w:rPr>
        <w:t>严重危害我省病区人民生命健康和经济社会发展的大骨节病、克山病、碘缺乏病、地方性氟砷中毒等地方病基本达到了消除或者控制，</w:t>
      </w:r>
      <w:r>
        <w:rPr>
          <w:sz w:val="24"/>
          <w:szCs w:val="24"/>
        </w:rPr>
        <w:t>消除了地方病危害</w:t>
      </w:r>
      <w:r>
        <w:rPr>
          <w:rFonts w:hint="eastAsia"/>
          <w:sz w:val="24"/>
          <w:szCs w:val="24"/>
          <w:lang w:eastAsia="zh-CN"/>
        </w:rPr>
        <w:t>。</w:t>
      </w:r>
      <w:r>
        <w:rPr>
          <w:sz w:val="24"/>
          <w:szCs w:val="24"/>
        </w:rPr>
        <w:t>除饮水型氟中毒达到控制状态外，其余大骨节病、克山病、碘缺乏病、燃煤型氟砷中毒等均达到消除状态，防治成效显著。</w:t>
      </w:r>
    </w:p>
    <w:p>
      <w:pPr>
        <w:spacing w:line="360" w:lineRule="auto"/>
        <w:rPr>
          <w:rFonts w:hint="eastAsia"/>
          <w:b/>
          <w:sz w:val="24"/>
        </w:rPr>
      </w:pPr>
      <w:r>
        <w:rPr>
          <w:rFonts w:hint="eastAsia"/>
          <w:b/>
          <w:sz w:val="24"/>
          <w:lang w:eastAsia="zh-CN"/>
        </w:rPr>
        <w:t>四</w:t>
      </w:r>
      <w:r>
        <w:rPr>
          <w:rFonts w:hint="eastAsia"/>
          <w:b/>
          <w:sz w:val="24"/>
        </w:rPr>
        <w:t>、应用情况</w:t>
      </w:r>
    </w:p>
    <w:p>
      <w:pPr>
        <w:spacing w:line="440" w:lineRule="atLeast"/>
        <w:ind w:firstLine="480" w:firstLineChars="200"/>
        <w:rPr>
          <w:sz w:val="24"/>
          <w:szCs w:val="24"/>
        </w:rPr>
      </w:pPr>
      <w:r>
        <w:rPr>
          <w:sz w:val="24"/>
          <w:szCs w:val="24"/>
        </w:rPr>
        <w:t>陕西省地方病防治研究项目深入陕西地方病病区的每一个村落，各项研究成果</w:t>
      </w:r>
      <w:r>
        <w:rPr>
          <w:rFonts w:hint="eastAsia"/>
          <w:sz w:val="24"/>
          <w:szCs w:val="24"/>
          <w:lang w:eastAsia="zh-CN"/>
        </w:rPr>
        <w:t>及时应用于我省</w:t>
      </w:r>
      <w:r>
        <w:rPr>
          <w:sz w:val="24"/>
          <w:szCs w:val="24"/>
        </w:rPr>
        <w:t>地方病防治一线，根据病情和相关因素的变化开始防治措施研究并进行动态调整，项目实施数十年来，为消除和控制地方病的发生做出了积极贡献。</w:t>
      </w:r>
    </w:p>
    <w:p>
      <w:pPr>
        <w:pStyle w:val="2"/>
        <w:jc w:val="center"/>
        <w:rPr>
          <w:rFonts w:hint="eastAsia" w:ascii="Calibri" w:hAnsi="Calibri" w:eastAsia="宋体" w:cs="Times New Roman"/>
          <w:kern w:val="2"/>
          <w:sz w:val="24"/>
          <w:szCs w:val="24"/>
          <w:lang w:val="en-US" w:eastAsia="zh-CN" w:bidi="ar-SA"/>
        </w:rPr>
      </w:pPr>
    </w:p>
    <w:p>
      <w:pPr>
        <w:pStyle w:val="2"/>
        <w:jc w:val="center"/>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主要应用单位情况表</w:t>
      </w:r>
    </w:p>
    <w:tbl>
      <w:tblPr>
        <w:tblStyle w:val="7"/>
        <w:tblW w:w="8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
        <w:gridCol w:w="1566"/>
        <w:gridCol w:w="2531"/>
        <w:gridCol w:w="1153"/>
        <w:gridCol w:w="1003"/>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序号</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单位名称</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应用的技术</w:t>
            </w:r>
          </w:p>
        </w:tc>
        <w:tc>
          <w:tcPr>
            <w:tcW w:w="115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应用对象及规模</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应用起止时间</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麟游县疾病预防控制中心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大骨节病、克山病防治措施</w:t>
            </w:r>
          </w:p>
        </w:tc>
        <w:tc>
          <w:tcPr>
            <w:tcW w:w="115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全</w:t>
            </w:r>
            <w:r>
              <w:rPr>
                <w:rFonts w:hint="eastAsia" w:ascii="Times New Roman" w:hAnsi="Times New Roman" w:eastAsia="宋体" w:cs="Times New Roman"/>
                <w:kern w:val="2"/>
                <w:sz w:val="21"/>
                <w:szCs w:val="21"/>
                <w:lang w:val="en-US" w:eastAsia="zh-CN" w:bidi="ar-SA"/>
              </w:rPr>
              <w:t>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1995年至今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马存科</w:t>
            </w:r>
            <w:r>
              <w:rPr>
                <w:rFonts w:hint="default" w:ascii="Times New Roman" w:hAnsi="Times New Roman" w:eastAsia="宋体" w:cs="Times New Roman"/>
                <w:kern w:val="2"/>
                <w:sz w:val="21"/>
                <w:szCs w:val="21"/>
                <w:lang w:val="en-US" w:eastAsia="zh-CN" w:bidi="ar-SA"/>
              </w:rPr>
              <w:t>15710475655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2</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淳化县疾病预防控制中心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default" w:ascii="Times New Roman" w:hAnsi="Times New Roman" w:eastAsia="宋体" w:cs="Times New Roman"/>
                <w:kern w:val="2"/>
                <w:sz w:val="21"/>
                <w:szCs w:val="21"/>
                <w:lang w:val="en-US" w:eastAsia="zh-CN" w:bidi="ar-SA"/>
              </w:rPr>
              <w:t>大骨节病、克山病</w:t>
            </w:r>
            <w:r>
              <w:rPr>
                <w:rFonts w:hint="eastAsia" w:ascii="Times New Roman" w:hAnsi="Times New Roman" w:eastAsia="宋体" w:cs="Times New Roman"/>
                <w:kern w:val="2"/>
                <w:sz w:val="21"/>
                <w:szCs w:val="21"/>
                <w:lang w:val="en-US" w:eastAsia="zh-CN" w:bidi="ar-SA"/>
              </w:rPr>
              <w:t>、碘缺乏病</w:t>
            </w:r>
            <w:r>
              <w:rPr>
                <w:rFonts w:hint="default" w:ascii="Times New Roman" w:hAnsi="Times New Roman" w:eastAsia="宋体" w:cs="Times New Roman"/>
                <w:kern w:val="2"/>
                <w:sz w:val="21"/>
                <w:szCs w:val="21"/>
                <w:lang w:val="en-US" w:eastAsia="zh-CN" w:bidi="ar-SA"/>
              </w:rPr>
              <w:t>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全</w:t>
            </w:r>
            <w:r>
              <w:rPr>
                <w:rFonts w:hint="eastAsia" w:ascii="Times New Roman" w:hAnsi="Times New Roman" w:eastAsia="宋体" w:cs="Times New Roman"/>
                <w:kern w:val="2"/>
                <w:sz w:val="21"/>
                <w:szCs w:val="21"/>
                <w:lang w:val="en-US" w:eastAsia="zh-CN" w:bidi="ar-SA"/>
              </w:rPr>
              <w:t>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1995年至今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白永生13892068309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3</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黄龙县疾病预防控制中心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default" w:ascii="Times New Roman" w:hAnsi="Times New Roman" w:eastAsia="宋体" w:cs="Times New Roman"/>
                <w:kern w:val="2"/>
                <w:sz w:val="21"/>
                <w:szCs w:val="21"/>
                <w:lang w:val="en-US" w:eastAsia="zh-CN" w:bidi="ar-SA"/>
              </w:rPr>
              <w:t>大骨节病、克山病防治措施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default" w:ascii="Times New Roman" w:hAnsi="Times New Roman" w:eastAsia="宋体" w:cs="Times New Roman"/>
                <w:kern w:val="2"/>
                <w:sz w:val="21"/>
                <w:szCs w:val="21"/>
                <w:lang w:val="en-US" w:eastAsia="zh-CN" w:bidi="ar-SA"/>
              </w:rPr>
              <w:t>全</w:t>
            </w:r>
            <w:r>
              <w:rPr>
                <w:rFonts w:hint="eastAsia" w:ascii="Times New Roman" w:hAnsi="Times New Roman" w:eastAsia="宋体" w:cs="Times New Roman"/>
                <w:kern w:val="2"/>
                <w:sz w:val="21"/>
                <w:szCs w:val="21"/>
                <w:lang w:val="en-US" w:eastAsia="zh-CN" w:bidi="ar-SA"/>
              </w:rPr>
              <w:t>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1995年至今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kern w:val="2"/>
                <w:sz w:val="21"/>
                <w:szCs w:val="21"/>
                <w:vertAlign w:val="baseline"/>
                <w:lang w:val="en-US" w:eastAsia="zh-CN" w:bidi="ar-SA"/>
              </w:rPr>
            </w:pPr>
            <w:r>
              <w:rPr>
                <w:rFonts w:hint="eastAsia" w:ascii="Times New Roman" w:hAnsi="Times New Roman" w:eastAsia="宋体" w:cs="Times New Roman"/>
                <w:kern w:val="2"/>
                <w:sz w:val="21"/>
                <w:szCs w:val="21"/>
                <w:lang w:val="en-US" w:eastAsia="zh-CN" w:bidi="ar-SA"/>
              </w:rPr>
              <w:t>贾文虎18992109169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4</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凤县疾病预防控制中心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碘缺乏病</w:t>
            </w:r>
            <w:r>
              <w:rPr>
                <w:rFonts w:hint="default" w:ascii="Times New Roman" w:hAnsi="Times New Roman" w:eastAsia="宋体" w:cs="Times New Roman"/>
                <w:kern w:val="2"/>
                <w:sz w:val="21"/>
                <w:szCs w:val="21"/>
                <w:lang w:val="en-US" w:eastAsia="zh-CN" w:bidi="ar-SA"/>
              </w:rPr>
              <w:t>防治措施</w:t>
            </w:r>
          </w:p>
        </w:tc>
        <w:tc>
          <w:tcPr>
            <w:tcW w:w="115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全县</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1990年至今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沈娇15336160998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南郑县疾病预防控制中心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碘缺乏病</w:t>
            </w:r>
            <w:r>
              <w:rPr>
                <w:rFonts w:hint="default" w:ascii="Times New Roman" w:hAnsi="Times New Roman" w:eastAsia="宋体" w:cs="Times New Roman"/>
                <w:kern w:val="2"/>
                <w:sz w:val="21"/>
                <w:szCs w:val="21"/>
                <w:lang w:val="en-US" w:eastAsia="zh-CN" w:bidi="ar-SA"/>
              </w:rPr>
              <w:t>防治措施</w:t>
            </w:r>
          </w:p>
        </w:tc>
        <w:tc>
          <w:tcPr>
            <w:tcW w:w="115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全县</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1990年至今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钟鸣13309163869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6</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西乡县疾病预防控制中心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碘缺乏病</w:t>
            </w:r>
            <w:r>
              <w:rPr>
                <w:rFonts w:hint="default" w:ascii="Times New Roman" w:hAnsi="Times New Roman" w:eastAsia="宋体" w:cs="Times New Roman"/>
                <w:kern w:val="2"/>
                <w:sz w:val="21"/>
                <w:szCs w:val="21"/>
                <w:lang w:val="en-US" w:eastAsia="zh-CN" w:bidi="ar-SA"/>
              </w:rPr>
              <w:t>防治措施</w:t>
            </w:r>
          </w:p>
        </w:tc>
        <w:tc>
          <w:tcPr>
            <w:tcW w:w="115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全县</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1990年至今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卢美璇</w:t>
            </w:r>
            <w:r>
              <w:rPr>
                <w:rFonts w:hint="default" w:ascii="Times New Roman" w:hAnsi="Times New Roman" w:eastAsia="宋体" w:cs="Times New Roman"/>
                <w:kern w:val="2"/>
                <w:sz w:val="21"/>
                <w:szCs w:val="21"/>
                <w:lang w:val="en-US" w:eastAsia="zh-CN" w:bidi="ar-SA"/>
              </w:rPr>
              <w:t>15929509393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7</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平利县疾病预防控制中心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燃煤型氟砷中毒防治措施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2004年至今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陈瑶13992589192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8</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紫阳县疾病预防控制中心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燃煤型氟砷中毒防治措施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2004年至今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邓英</w:t>
            </w:r>
            <w:r>
              <w:rPr>
                <w:rFonts w:hint="default" w:ascii="Times New Roman" w:hAnsi="Times New Roman" w:eastAsia="宋体" w:cs="Times New Roman"/>
                <w:kern w:val="2"/>
                <w:sz w:val="21"/>
                <w:szCs w:val="21"/>
                <w:lang w:val="en-US" w:eastAsia="zh-CN" w:bidi="ar-SA"/>
              </w:rPr>
              <w:t>13992589399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9</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蒲城县疾病预防控制中心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饮水型氟中毒防治措施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1990年至今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原刚13572308166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10</w:t>
            </w:r>
          </w:p>
        </w:tc>
        <w:tc>
          <w:tcPr>
            <w:tcW w:w="156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富平县疾病预防控制中心</w:t>
            </w:r>
          </w:p>
        </w:tc>
        <w:tc>
          <w:tcPr>
            <w:tcW w:w="2531"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饮水型氟中毒、水源性高碘防治措施</w:t>
            </w:r>
          </w:p>
        </w:tc>
        <w:tc>
          <w:tcPr>
            <w:tcW w:w="11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全部病区</w:t>
            </w:r>
          </w:p>
        </w:tc>
        <w:tc>
          <w:tcPr>
            <w:tcW w:w="100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cs="Times New Roman"/>
                <w:b/>
                <w:color w:val="000000"/>
                <w:sz w:val="21"/>
                <w:szCs w:val="21"/>
                <w:vertAlign w:val="baseline"/>
                <w:lang w:val="en-US" w:eastAsia="zh-CN"/>
              </w:rPr>
            </w:pPr>
            <w:r>
              <w:rPr>
                <w:rFonts w:hint="eastAsia" w:ascii="Times New Roman" w:hAnsi="Times New Roman" w:eastAsia="宋体" w:cs="Times New Roman"/>
                <w:kern w:val="2"/>
                <w:sz w:val="21"/>
                <w:szCs w:val="21"/>
                <w:lang w:val="en-US" w:eastAsia="zh-CN" w:bidi="ar-SA"/>
              </w:rPr>
              <w:t>1990年至今</w:t>
            </w:r>
          </w:p>
        </w:tc>
        <w:tc>
          <w:tcPr>
            <w:tcW w:w="14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朱晶晶15229831856</w:t>
            </w:r>
          </w:p>
        </w:tc>
      </w:tr>
    </w:tbl>
    <w:p>
      <w:pPr>
        <w:spacing w:line="360" w:lineRule="auto"/>
        <w:rPr>
          <w:b/>
          <w:sz w:val="24"/>
        </w:rPr>
      </w:pPr>
      <w:r>
        <w:rPr>
          <w:rFonts w:hint="eastAsia"/>
          <w:b/>
          <w:sz w:val="24"/>
          <w:lang w:eastAsia="zh-CN"/>
        </w:rPr>
        <w:t>五</w:t>
      </w:r>
      <w:r>
        <w:rPr>
          <w:rFonts w:hint="eastAsia"/>
          <w:b/>
          <w:sz w:val="24"/>
        </w:rPr>
        <w:t>、主要知识产权</w:t>
      </w:r>
    </w:p>
    <w:tbl>
      <w:tblPr>
        <w:tblStyle w:val="7"/>
        <w:tblW w:w="9669" w:type="dxa"/>
        <w:tblInd w:w="-6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6704"/>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编号</w:t>
            </w:r>
          </w:p>
        </w:tc>
        <w:tc>
          <w:tcPr>
            <w:tcW w:w="6704" w:type="dxa"/>
          </w:tcPr>
          <w:p>
            <w:pPr>
              <w:rPr>
                <w:rFonts w:hint="eastAsia" w:ascii="宋体" w:hAnsi="宋体" w:eastAsia="宋体" w:cs="宋体"/>
                <w:color w:val="auto"/>
                <w:sz w:val="24"/>
                <w:szCs w:val="24"/>
              </w:rPr>
            </w:pPr>
            <w:r>
              <w:rPr>
                <w:rFonts w:hint="eastAsia" w:ascii="宋体" w:hAnsi="宋体" w:eastAsia="宋体" w:cs="宋体"/>
                <w:color w:val="auto"/>
                <w:sz w:val="24"/>
                <w:szCs w:val="24"/>
              </w:rPr>
              <w:t>附件名称</w:t>
            </w:r>
          </w:p>
        </w:tc>
        <w:tc>
          <w:tcPr>
            <w:tcW w:w="2237" w:type="dxa"/>
          </w:tcPr>
          <w:p>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完成单位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6704" w:type="dxa"/>
          </w:tcPr>
          <w:p>
            <w:pPr>
              <w:pStyle w:val="3"/>
              <w:wordWrap w:val="0"/>
              <w:topLinePunct/>
              <w:ind w:left="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Associations Between Selenium Content in Hair and Kashin-Beck Disease/Keshan Disease in Children in Northwestern China: a Prospective Cohort Study.（IF：3.738）</w:t>
            </w:r>
          </w:p>
        </w:tc>
        <w:tc>
          <w:tcPr>
            <w:tcW w:w="2237" w:type="dxa"/>
          </w:tcPr>
          <w:p>
            <w:pPr>
              <w:pStyle w:val="3"/>
              <w:wordWrap w:val="0"/>
              <w:topLinePunct/>
              <w:ind w:left="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大骨节病区儿童生长发育调查</w:t>
            </w:r>
          </w:p>
        </w:tc>
        <w:tc>
          <w:tcPr>
            <w:tcW w:w="2237" w:type="dxa"/>
          </w:tcPr>
          <w:p>
            <w:pPr>
              <w:widowControl/>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大骨节病区居民营养状况调查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硒与大骨节病的动态研究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永寿大骨节病区居民营养现状分析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大骨节病区粮食含水量研究 </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大骨节病消长与儿童发硒水平的同步监测</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氟中毒和大骨节病区及两病并存病区的水质对比分析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大骨节病患者血清NO、NOS、sFas/APO-1检测分析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1-10</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外环境低硒与大骨节病 </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陕西省大骨节病病情现状与相关因素调查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1-12</w:t>
            </w:r>
          </w:p>
        </w:tc>
        <w:tc>
          <w:tcPr>
            <w:tcW w:w="6704" w:type="dxa"/>
          </w:tcPr>
          <w:p>
            <w:pPr>
              <w:widowControl/>
              <w:jc w:val="left"/>
              <w:rPr>
                <w:rFonts w:hint="eastAsia" w:ascii="宋体" w:hAnsi="宋体" w:eastAsia="宋体" w:cs="宋体"/>
                <w:b/>
                <w:bCs/>
                <w:color w:val="auto"/>
                <w:sz w:val="24"/>
                <w:szCs w:val="24"/>
              </w:rPr>
            </w:pPr>
            <w:r>
              <w:rPr>
                <w:rFonts w:hint="eastAsia" w:ascii="宋体" w:hAnsi="宋体" w:eastAsia="宋体" w:cs="宋体"/>
                <w:color w:val="auto"/>
                <w:sz w:val="24"/>
                <w:szCs w:val="24"/>
              </w:rPr>
              <w:t>专著：永寿大骨节病科学考察文集</w:t>
            </w:r>
          </w:p>
        </w:tc>
        <w:tc>
          <w:tcPr>
            <w:tcW w:w="2237" w:type="dxa"/>
          </w:tcPr>
          <w:p>
            <w:pPr>
              <w:widowControl/>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陕西省地方病防治研究所参与编写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儿童大骨节病指骨干骺、骨骺X线改变及其检出率季节性变化的研究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大骨节病指骨囊样变动态研究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1-15</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大骨节病掌指骨 线诊断过程中的 </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1-16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专著：大骨节病诊治研究</w:t>
            </w:r>
          </w:p>
        </w:tc>
        <w:tc>
          <w:tcPr>
            <w:tcW w:w="2237" w:type="dxa"/>
          </w:tcPr>
          <w:p>
            <w:pPr>
              <w:widowControl/>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专著：地方病防治60年</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陕西省大骨节病国家监测点 19年监测结果分析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陕西省大骨节病防治总结报告</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陕西省2003年大骨节病病情监测结果分析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shd w:val="clear" w:color="auto" w:fill="auto"/>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6704" w:type="dxa"/>
            <w:shd w:val="clear" w:color="auto" w:fill="auto"/>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2005年陕西省大骨节病病情监测报告</w:t>
            </w:r>
          </w:p>
        </w:tc>
        <w:tc>
          <w:tcPr>
            <w:tcW w:w="2237" w:type="dxa"/>
            <w:shd w:val="clear" w:color="auto" w:fill="auto"/>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shd w:val="clear" w:color="auto" w:fill="auto"/>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6704" w:type="dxa"/>
            <w:shd w:val="clear" w:color="auto" w:fill="auto"/>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2006年陕西省大骨节病病情监测报告</w:t>
            </w:r>
          </w:p>
        </w:tc>
        <w:tc>
          <w:tcPr>
            <w:tcW w:w="2237" w:type="dxa"/>
            <w:shd w:val="clear" w:color="auto" w:fill="auto"/>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shd w:val="clear" w:color="auto" w:fill="auto"/>
          </w:tcPr>
          <w:p>
            <w:pPr>
              <w:widowControl/>
              <w:jc w:val="center"/>
              <w:rPr>
                <w:rFonts w:hint="eastAsia" w:ascii="宋体" w:hAnsi="宋体" w:eastAsia="宋体" w:cs="宋体"/>
                <w:b/>
                <w:bCs/>
                <w:color w:val="auto"/>
                <w:sz w:val="24"/>
                <w:szCs w:val="24"/>
              </w:rPr>
            </w:pPr>
            <w:r>
              <w:rPr>
                <w:rFonts w:hint="eastAsia" w:ascii="宋体" w:hAnsi="宋体" w:eastAsia="宋体" w:cs="宋体"/>
                <w:b w:val="0"/>
                <w:bCs w:val="0"/>
                <w:color w:val="auto"/>
                <w:sz w:val="24"/>
                <w:szCs w:val="24"/>
              </w:rPr>
              <w:t>2-7</w:t>
            </w:r>
          </w:p>
        </w:tc>
        <w:tc>
          <w:tcPr>
            <w:tcW w:w="6704" w:type="dxa"/>
            <w:shd w:val="clear" w:color="auto" w:fill="auto"/>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2007年陕西省大骨节病病情监测报告</w:t>
            </w:r>
          </w:p>
        </w:tc>
        <w:tc>
          <w:tcPr>
            <w:tcW w:w="2237" w:type="dxa"/>
            <w:shd w:val="clear" w:color="auto" w:fill="auto"/>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专著：《陕西克山病防治研究》</w:t>
            </w:r>
          </w:p>
        </w:tc>
        <w:tc>
          <w:tcPr>
            <w:tcW w:w="2237"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3-2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专著：《心律失常心电图图谱》</w:t>
            </w:r>
          </w:p>
        </w:tc>
        <w:tc>
          <w:tcPr>
            <w:tcW w:w="2237" w:type="dxa"/>
          </w:tcPr>
          <w:p>
            <w:pPr>
              <w:widowControl/>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z w:val="24"/>
                <w:szCs w:val="24"/>
              </w:rPr>
            </w:pPr>
            <w:r>
              <w:rPr>
                <w:rFonts w:hint="eastAsia" w:ascii="宋体" w:hAnsi="宋体" w:eastAsia="宋体" w:cs="宋体"/>
                <w:color w:val="auto"/>
                <w:sz w:val="24"/>
                <w:szCs w:val="24"/>
              </w:rPr>
              <w:t>3-3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专著：《心电图鉴别诊断学》</w:t>
            </w:r>
          </w:p>
        </w:tc>
        <w:tc>
          <w:tcPr>
            <w:tcW w:w="2237" w:type="dxa"/>
          </w:tcPr>
          <w:p>
            <w:pPr>
              <w:widowControl/>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国家标准：GB 16396-1996 地方性氟骨症临床分度诊断</w:t>
            </w:r>
          </w:p>
        </w:tc>
        <w:tc>
          <w:tcPr>
            <w:tcW w:w="2237" w:type="dxa"/>
          </w:tcPr>
          <w:p>
            <w:pPr>
              <w:widowControl/>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燃煤污染型地方性氟中毒</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地方性氟中毒与环境含氟量关系的研究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关中地区地方性氟骨症发病的水氟含量的临界值调查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4-5</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2006年和2007年陕西省安康市燃煤污染型氟砷中毒及相关性调查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陕南煤矿煤炭氟砷含量调查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4-7</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燃煤污染型氟砷中毒病区儿童智力水平和生长发育状况调查分析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4-8</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2009-2013年陕西省饮水型地方名氟中毒监测结果分析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4-9</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陕西省地方性氟砷中毒流行现状及防治概况</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4-10</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陕西省地方性氟中毒普查结果报告</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4-11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陕西省地方性氟中毒与地理因素的关系</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硒与大骨节病的动态研究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硒盐预防大骨节病效果观察</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"http://nvsm.cnki.net/kns/detail/detail.aspx?QueryID=3&amp;CurRec=6&amp;recid=&amp;FileName=DFBT200301043&amp;DbName=CJFD2003&amp;DbCode=CJFQ&amp;yx=&amp;pr=&amp;URLID=&amp;bsm=QK0203;"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测定盐硒应注意的问题</w:t>
            </w:r>
            <w:r>
              <w:rPr>
                <w:rFonts w:hint="eastAsia" w:ascii="宋体" w:hAnsi="宋体" w:eastAsia="宋体" w:cs="宋体"/>
                <w:color w:val="auto"/>
                <w:sz w:val="24"/>
                <w:szCs w:val="24"/>
              </w:rPr>
              <w:fldChar w:fldCharType="end"/>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2004年陕西省硒碘盐监测报告</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5-5</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2007-2009年陕西省硒(碘)盐质量监测</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5-6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2012年陕西省停止硒盐防治措施2个月后大骨节病病区人群发硒含量变化的监测</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综合措施防治大骨节病十年研究 </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7-1</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2005年陕西省防氟砷改灶及健康教育效果评价</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7-2</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陕西省燃煤污染型氟（砷）中毒病区改炉改灶质量报告</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7-3</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陕西省燃煤污染性氟砷中毒病区现况及防治对策</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7-4</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陕西省燃煤污染型氟砷中毒防治现状及策略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7-5</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2003年陕西省地方性氟中毒改水降氟监测结果分析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7-6</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2006年陕西省饮水氟含量和氟中毒筛查报告</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7-7</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1995-2011年陕西省碘缺乏病防治效果分析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7-8</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陕西省碘缺乏病防治现状调查</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7-9</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陕西省碘缺乏病回升调查与控制</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7-10</w:t>
            </w:r>
          </w:p>
        </w:tc>
        <w:tc>
          <w:tcPr>
            <w:tcW w:w="6704" w:type="dxa"/>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rPr>
              <w:t>盐碘含量调整后陕西省咸阳市与宁夏银川市碘缺乏病监测结果对比分析</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陕西省地方病防治研究所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8-1</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"https://www.ncbi.nlm.nih.gov/pubmed/30256536"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8"/>
                <w:sz w:val="24"/>
                <w:szCs w:val="24"/>
              </w:rPr>
              <w:t>RNA-seq analysis reveals different gene ontologies and pathways in rheumatoid arthritis and Kashin-Beck disease.</w:t>
            </w:r>
            <w:r>
              <w:rPr>
                <w:rFonts w:hint="eastAsia" w:ascii="宋体" w:hAnsi="宋体" w:eastAsia="宋体" w:cs="宋体"/>
                <w:color w:val="auto"/>
                <w:spacing w:val="8"/>
                <w:sz w:val="24"/>
                <w:szCs w:val="24"/>
              </w:rPr>
              <w:fldChar w:fldCharType="end"/>
            </w:r>
            <w:r>
              <w:rPr>
                <w:rFonts w:hint="eastAsia" w:ascii="宋体" w:hAnsi="宋体" w:eastAsia="宋体" w:cs="宋体"/>
                <w:color w:val="auto"/>
                <w:spacing w:val="8"/>
                <w:sz w:val="24"/>
                <w:szCs w:val="24"/>
              </w:rPr>
              <w:t>（IF：2.454）</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8-2</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pacing w:val="8"/>
                <w:sz w:val="24"/>
                <w:szCs w:val="24"/>
              </w:rPr>
              <w:t>Comparison of microRNA expression profiles of Kashin-Beck disease, osteoarthritis and rheumatoid arthritis.（IF：4.38）</w:t>
            </w:r>
          </w:p>
        </w:tc>
        <w:tc>
          <w:tcPr>
            <w:tcW w:w="2237" w:type="dxa"/>
            <w:vAlign w:val="top"/>
          </w:tcPr>
          <w:p>
            <w:pPr>
              <w:widowControl/>
              <w:jc w:val="left"/>
              <w:rPr>
                <w:rFonts w:hint="eastAsia" w:ascii="宋体" w:hAnsi="宋体" w:eastAsia="宋体" w:cs="宋体"/>
                <w:color w:val="auto"/>
                <w:spacing w:val="8"/>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8-3</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pacing w:val="8"/>
                <w:sz w:val="24"/>
                <w:szCs w:val="24"/>
              </w:rPr>
              <w:t>Evaluation of the Sensitivity and Specificity of the New Clinical Diagnostic and Classification Criteria for Kashin-Beck Disease, an Endemic Osteoarthritis, in China.（IF：2.656）</w:t>
            </w:r>
          </w:p>
        </w:tc>
        <w:tc>
          <w:tcPr>
            <w:tcW w:w="2237" w:type="dxa"/>
            <w:vAlign w:val="top"/>
          </w:tcPr>
          <w:p>
            <w:pPr>
              <w:widowControl/>
              <w:jc w:val="left"/>
              <w:rPr>
                <w:rFonts w:hint="eastAsia" w:ascii="宋体" w:hAnsi="宋体" w:eastAsia="宋体" w:cs="宋体"/>
                <w:color w:val="auto"/>
                <w:spacing w:val="8"/>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8-4</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pacing w:val="8"/>
                <w:sz w:val="24"/>
                <w:szCs w:val="24"/>
              </w:rPr>
              <w:t>国家标准：大骨节病预防控制措施效果判定</w:t>
            </w:r>
          </w:p>
        </w:tc>
        <w:tc>
          <w:tcPr>
            <w:tcW w:w="2237" w:type="dxa"/>
            <w:vAlign w:val="top"/>
          </w:tcPr>
          <w:p>
            <w:pPr>
              <w:widowControl/>
              <w:jc w:val="left"/>
              <w:rPr>
                <w:rFonts w:hint="eastAsia" w:ascii="宋体" w:hAnsi="宋体" w:eastAsia="宋体" w:cs="宋体"/>
                <w:color w:val="auto"/>
                <w:spacing w:val="8"/>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8-5</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"https://www.ncbi.nlm.nih.gov/pubmed/31196963"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8"/>
                <w:sz w:val="24"/>
                <w:szCs w:val="24"/>
              </w:rPr>
              <w:t>Differential gene expression in articular cartilage between rheumatoid arthritis and endemic Kashin-Beck disease</w:t>
            </w:r>
            <w:r>
              <w:rPr>
                <w:rFonts w:hint="eastAsia" w:ascii="宋体" w:hAnsi="宋体" w:eastAsia="宋体" w:cs="宋体"/>
                <w:color w:val="auto"/>
                <w:spacing w:val="8"/>
                <w:sz w:val="24"/>
                <w:szCs w:val="24"/>
              </w:rPr>
              <w:fldChar w:fldCharType="end"/>
            </w:r>
            <w:r>
              <w:rPr>
                <w:rFonts w:hint="eastAsia" w:ascii="宋体" w:hAnsi="宋体" w:eastAsia="宋体" w:cs="宋体"/>
                <w:color w:val="auto"/>
                <w:spacing w:val="8"/>
                <w:sz w:val="24"/>
                <w:szCs w:val="24"/>
              </w:rPr>
              <w:t>（IF：3.84）</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8-6</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"https://www.ncbi.nlm.nih.gov/pubmed/30262269"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8"/>
                <w:sz w:val="24"/>
                <w:szCs w:val="24"/>
              </w:rPr>
              <w:t>The effects of long-term low selenium diet on the expression of CHST-3, CHST-12 and UST in knee cartilage of growing rats.</w:t>
            </w:r>
            <w:r>
              <w:rPr>
                <w:rFonts w:hint="eastAsia" w:ascii="宋体" w:hAnsi="宋体" w:eastAsia="宋体" w:cs="宋体"/>
                <w:color w:val="auto"/>
                <w:spacing w:val="8"/>
                <w:sz w:val="24"/>
                <w:szCs w:val="24"/>
              </w:rPr>
              <w:fldChar w:fldCharType="end"/>
            </w:r>
            <w:r>
              <w:rPr>
                <w:rFonts w:hint="eastAsia" w:ascii="宋体" w:hAnsi="宋体" w:eastAsia="宋体" w:cs="宋体"/>
                <w:color w:val="auto"/>
                <w:spacing w:val="8"/>
                <w:sz w:val="24"/>
                <w:szCs w:val="24"/>
              </w:rPr>
              <w:t>（IF：3.849）</w:t>
            </w:r>
          </w:p>
        </w:tc>
        <w:tc>
          <w:tcPr>
            <w:tcW w:w="2237" w:type="dxa"/>
            <w:vAlign w:val="top"/>
          </w:tcPr>
          <w:p>
            <w:pPr>
              <w:widowControl/>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8-7</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pacing w:val="8"/>
                <w:sz w:val="24"/>
                <w:szCs w:val="24"/>
              </w:rPr>
              <w:t>Hyaluronic acid and glucosamine sulfate for adult Kashin-Beck disease: a cluster-randomized, placebo-controlled study. （IF：2.394）</w:t>
            </w:r>
          </w:p>
        </w:tc>
        <w:tc>
          <w:tcPr>
            <w:tcW w:w="2237" w:type="dxa"/>
            <w:vAlign w:val="top"/>
          </w:tcPr>
          <w:p>
            <w:pPr>
              <w:widowControl/>
              <w:jc w:val="left"/>
              <w:rPr>
                <w:rFonts w:hint="eastAsia" w:ascii="宋体" w:hAnsi="宋体" w:eastAsia="宋体" w:cs="宋体"/>
                <w:color w:val="auto"/>
                <w:spacing w:val="8"/>
                <w:sz w:val="24"/>
                <w:szCs w:val="24"/>
              </w:rPr>
            </w:pPr>
            <w:r>
              <w:rPr>
                <w:rFonts w:hint="eastAsia" w:ascii="宋体" w:hAnsi="宋体" w:eastAsia="宋体" w:cs="宋体"/>
                <w:color w:val="auto"/>
                <w:sz w:val="24"/>
                <w:szCs w:val="24"/>
                <w:lang w:eastAsia="zh-CN"/>
              </w:rPr>
              <w:t>西安交通大学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widowControl/>
              <w:jc w:val="center"/>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8-8</w:t>
            </w:r>
          </w:p>
        </w:tc>
        <w:tc>
          <w:tcPr>
            <w:tcW w:w="6704" w:type="dxa"/>
            <w:vAlign w:val="top"/>
          </w:tcPr>
          <w:p>
            <w:pPr>
              <w:widowControl/>
              <w:jc w:val="left"/>
              <w:rPr>
                <w:rFonts w:hint="eastAsia" w:ascii="宋体" w:hAnsi="宋体" w:eastAsia="宋体" w:cs="宋体"/>
                <w:color w:val="auto"/>
                <w:spacing w:val="8"/>
                <w:kern w:val="2"/>
                <w:sz w:val="24"/>
                <w:szCs w:val="24"/>
                <w:lang w:val="en-US" w:eastAsia="zh-CN" w:bidi="ar-SA"/>
              </w:rPr>
            </w:pPr>
            <w:r>
              <w:rPr>
                <w:rFonts w:hint="eastAsia" w:ascii="宋体" w:hAnsi="宋体" w:eastAsia="宋体" w:cs="宋体"/>
                <w:color w:val="auto"/>
                <w:spacing w:val="8"/>
                <w:sz w:val="24"/>
                <w:szCs w:val="24"/>
              </w:rPr>
              <w:t>Comparison of Apoptosis and Autophagy in Human Chondrocytes Induced by the T-2 and HT-2 Toxins（IF：3.531）</w:t>
            </w:r>
          </w:p>
        </w:tc>
        <w:tc>
          <w:tcPr>
            <w:tcW w:w="2237" w:type="dxa"/>
            <w:vAlign w:val="top"/>
          </w:tcPr>
          <w:p>
            <w:pPr>
              <w:widowControl/>
              <w:jc w:val="left"/>
              <w:rPr>
                <w:rFonts w:hint="eastAsia" w:ascii="宋体" w:hAnsi="宋体" w:eastAsia="宋体" w:cs="宋体"/>
                <w:color w:val="auto"/>
                <w:spacing w:val="8"/>
                <w:sz w:val="24"/>
                <w:szCs w:val="24"/>
              </w:rPr>
            </w:pPr>
            <w:r>
              <w:rPr>
                <w:rFonts w:hint="eastAsia" w:ascii="宋体" w:hAnsi="宋体" w:eastAsia="宋体" w:cs="宋体"/>
                <w:color w:val="auto"/>
                <w:sz w:val="24"/>
                <w:szCs w:val="24"/>
                <w:lang w:eastAsia="zh-CN"/>
              </w:rPr>
              <w:t>西安交通大学</w:t>
            </w:r>
          </w:p>
        </w:tc>
      </w:tr>
    </w:tbl>
    <w:p>
      <w:pPr>
        <w:spacing w:line="360" w:lineRule="auto"/>
        <w:rPr>
          <w:b/>
          <w:sz w:val="24"/>
        </w:rPr>
      </w:pPr>
    </w:p>
    <w:p>
      <w:pPr>
        <w:spacing w:line="360" w:lineRule="auto"/>
        <w:rPr>
          <w:rFonts w:eastAsiaTheme="minorEastAsia"/>
          <w:b/>
          <w:sz w:val="24"/>
          <w:szCs w:val="24"/>
        </w:rPr>
      </w:pPr>
      <w:r>
        <w:rPr>
          <w:rFonts w:hint="eastAsia" w:eastAsiaTheme="minorEastAsia"/>
          <w:b/>
          <w:sz w:val="24"/>
          <w:szCs w:val="24"/>
        </w:rPr>
        <w:t>六、</w:t>
      </w:r>
      <w:r>
        <w:rPr>
          <w:rFonts w:eastAsiaTheme="minorEastAsia"/>
          <w:b/>
          <w:sz w:val="24"/>
          <w:szCs w:val="24"/>
        </w:rPr>
        <w:t>主要完成人情况</w:t>
      </w:r>
    </w:p>
    <w:tbl>
      <w:tblPr>
        <w:tblStyle w:val="6"/>
        <w:tblW w:w="5066" w:type="pct"/>
        <w:tblInd w:w="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autofit"/>
        <w:tblCellMar>
          <w:top w:w="0" w:type="dxa"/>
          <w:left w:w="0" w:type="dxa"/>
          <w:bottom w:w="0" w:type="dxa"/>
          <w:right w:w="0" w:type="dxa"/>
        </w:tblCellMar>
      </w:tblPr>
      <w:tblGrid>
        <w:gridCol w:w="919"/>
        <w:gridCol w:w="656"/>
        <w:gridCol w:w="717"/>
        <w:gridCol w:w="864"/>
        <w:gridCol w:w="1147"/>
        <w:gridCol w:w="1639"/>
        <w:gridCol w:w="2484"/>
      </w:tblGrid>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姓名</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排名</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行政</w:t>
            </w:r>
          </w:p>
          <w:p>
            <w:pPr>
              <w:autoSpaceDE w:val="0"/>
              <w:autoSpaceDN w:val="0"/>
              <w:adjustRightInd w:val="0"/>
              <w:spacing w:line="360" w:lineRule="auto"/>
              <w:jc w:val="center"/>
              <w:rPr>
                <w:rFonts w:eastAsiaTheme="minorEastAsia"/>
                <w:sz w:val="24"/>
                <w:szCs w:val="24"/>
              </w:rPr>
            </w:pPr>
            <w:r>
              <w:rPr>
                <w:rFonts w:eastAsiaTheme="minorEastAsia"/>
                <w:sz w:val="24"/>
                <w:szCs w:val="24"/>
              </w:rPr>
              <w:t>职务</w:t>
            </w: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技术</w:t>
            </w:r>
          </w:p>
          <w:p>
            <w:pPr>
              <w:autoSpaceDE w:val="0"/>
              <w:autoSpaceDN w:val="0"/>
              <w:adjustRightInd w:val="0"/>
              <w:spacing w:line="360" w:lineRule="auto"/>
              <w:jc w:val="center"/>
              <w:rPr>
                <w:rFonts w:eastAsiaTheme="minorEastAsia"/>
                <w:sz w:val="24"/>
                <w:szCs w:val="24"/>
              </w:rPr>
            </w:pPr>
            <w:r>
              <w:rPr>
                <w:rFonts w:eastAsiaTheme="minorEastAsia"/>
                <w:sz w:val="24"/>
                <w:szCs w:val="24"/>
              </w:rPr>
              <w:t>职称</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工作单位</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完成单位</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eastAsiaTheme="minorEastAsia"/>
                <w:sz w:val="24"/>
                <w:szCs w:val="24"/>
              </w:rPr>
              <w:t>对本项目主要学术和技术创造性贡献</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lang w:eastAsia="zh-CN"/>
              </w:rPr>
              <w:t>张清平</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rPr>
              <w:t>1</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lang w:eastAsia="zh-CN"/>
              </w:rPr>
              <w:t>所</w:t>
            </w:r>
            <w:r>
              <w:rPr>
                <w:rFonts w:hint="eastAsia" w:eastAsiaTheme="minorEastAsia"/>
                <w:sz w:val="24"/>
                <w:szCs w:val="24"/>
              </w:rPr>
              <w:t>长</w:t>
            </w: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主任医师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sz w:val="24"/>
              </w:rPr>
              <w:t>总负责人</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lang w:eastAsia="zh-CN"/>
              </w:rPr>
              <w:t>杨晓栋</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rPr>
              <w:t>2</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副主任技师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eastAsiaTheme="minorEastAsia"/>
                <w:sz w:val="24"/>
                <w:szCs w:val="24"/>
                <w:lang w:eastAsia="zh-CN"/>
              </w:rPr>
            </w:pPr>
            <w:r>
              <w:rPr>
                <w:rFonts w:hint="eastAsia" w:eastAsiaTheme="minorEastAsia"/>
                <w:sz w:val="24"/>
                <w:szCs w:val="24"/>
                <w:lang w:eastAsia="zh-CN"/>
              </w:rPr>
              <w:t>陕西省陕西省地方病防治研究所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hint="eastAsia"/>
                <w:sz w:val="24"/>
                <w:lang w:eastAsia="zh-CN"/>
              </w:rPr>
            </w:pPr>
            <w:r>
              <w:rPr>
                <w:rFonts w:hint="eastAsia"/>
                <w:sz w:val="24"/>
                <w:lang w:eastAsia="zh-CN"/>
              </w:rPr>
              <w:t>停硒盐前后硒营养水平调查、内外环境调查</w:t>
            </w:r>
          </w:p>
          <w:p>
            <w:pPr>
              <w:autoSpaceDE w:val="0"/>
              <w:autoSpaceDN w:val="0"/>
              <w:adjustRightInd w:val="0"/>
              <w:spacing w:line="240" w:lineRule="auto"/>
              <w:jc w:val="both"/>
              <w:rPr>
                <w:rFonts w:hint="eastAsia" w:eastAsia="宋体"/>
                <w:sz w:val="24"/>
                <w:szCs w:val="24"/>
                <w:lang w:eastAsia="zh-CN"/>
              </w:rPr>
            </w:pP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r>
              <w:rPr>
                <w:rFonts w:hint="eastAsia" w:eastAsiaTheme="minorEastAsia"/>
                <w:sz w:val="24"/>
                <w:szCs w:val="24"/>
                <w:lang w:eastAsia="zh-CN"/>
              </w:rPr>
              <w:t>宋运龙</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r>
              <w:rPr>
                <w:rFonts w:hint="eastAsia" w:eastAsiaTheme="minorEastAsia"/>
                <w:sz w:val="24"/>
                <w:szCs w:val="24"/>
              </w:rPr>
              <w:t>3</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副所长</w:t>
            </w: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副高级</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240" w:lineRule="auto"/>
              <w:jc w:val="center"/>
              <w:rPr>
                <w:rFonts w:eastAsiaTheme="minorEastAsia"/>
                <w:sz w:val="24"/>
                <w:szCs w:val="24"/>
              </w:rPr>
            </w:pPr>
            <w:r>
              <w:rPr>
                <w:rFonts w:hint="eastAsia" w:eastAsiaTheme="minorEastAsia"/>
                <w:sz w:val="24"/>
                <w:szCs w:val="24"/>
                <w:lang w:eastAsia="zh-CN"/>
              </w:rPr>
              <w:t>陕西省陕西省地方病防治研究所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宋体"/>
                <w:sz w:val="24"/>
                <w:szCs w:val="24"/>
                <w:lang w:eastAsia="zh-CN"/>
              </w:rPr>
            </w:pPr>
            <w:r>
              <w:rPr>
                <w:rFonts w:hint="eastAsia"/>
                <w:sz w:val="24"/>
                <w:lang w:eastAsia="zh-CN"/>
              </w:rPr>
              <w:t>项目实施</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r>
              <w:rPr>
                <w:rFonts w:hint="eastAsia" w:eastAsiaTheme="minorEastAsia"/>
                <w:sz w:val="24"/>
                <w:szCs w:val="24"/>
                <w:lang w:eastAsia="zh-CN"/>
              </w:rPr>
              <w:t>刘欢</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r>
              <w:rPr>
                <w:rFonts w:hint="eastAsia" w:eastAsiaTheme="minorEastAsia"/>
                <w:sz w:val="24"/>
                <w:szCs w:val="24"/>
              </w:rPr>
              <w:t>4</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助理教授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西安交通大学</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西安交通大学</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宋体"/>
                <w:sz w:val="24"/>
                <w:szCs w:val="24"/>
                <w:lang w:eastAsia="zh-CN"/>
              </w:rPr>
            </w:pPr>
            <w:r>
              <w:rPr>
                <w:rFonts w:hint="eastAsia"/>
                <w:sz w:val="24"/>
                <w:lang w:eastAsia="zh-CN"/>
              </w:rPr>
              <w:t>病因研究</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徐纲要</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rPr>
              <w:t>5</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Times New Roman" w:hAnsi="Times New Roman" w:cs="Times New Roman" w:eastAsiaTheme="minorEastAsia"/>
                <w:kern w:val="2"/>
                <w:sz w:val="24"/>
                <w:szCs w:val="24"/>
                <w:lang w:val="en-US" w:eastAsia="zh-CN" w:bidi="ar-SA"/>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中级技师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eastAsia="宋体" w:cs="Times New Roman"/>
                <w:kern w:val="2"/>
                <w:sz w:val="24"/>
                <w:szCs w:val="20"/>
                <w:lang w:val="en-US" w:eastAsia="zh-CN" w:bidi="ar-SA"/>
              </w:rPr>
            </w:pPr>
            <w:r>
              <w:rPr>
                <w:rFonts w:hint="eastAsia"/>
                <w:sz w:val="24"/>
                <w:lang w:eastAsia="zh-CN"/>
              </w:rPr>
              <w:t>大骨节病防治研究</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范中学</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rPr>
              <w:t>6</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Times New Roman" w:hAnsi="Times New Roman" w:cs="Times New Roman" w:eastAsiaTheme="minorEastAsia"/>
                <w:kern w:val="2"/>
                <w:sz w:val="24"/>
                <w:szCs w:val="24"/>
                <w:lang w:val="en-US" w:eastAsia="zh-CN" w:bidi="ar-SA"/>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副主任医师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eastAsia="宋体" w:cs="Times New Roman"/>
                <w:kern w:val="2"/>
                <w:sz w:val="24"/>
                <w:szCs w:val="24"/>
                <w:lang w:val="en-US" w:eastAsia="zh-CN" w:bidi="ar-SA"/>
              </w:rPr>
            </w:pPr>
            <w:r>
              <w:rPr>
                <w:rFonts w:hint="eastAsia"/>
                <w:sz w:val="24"/>
                <w:lang w:eastAsia="zh-CN"/>
              </w:rPr>
              <w:t>地方性氟中毒防治研究</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段刚</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val="en-US" w:eastAsia="zh-CN"/>
              </w:rPr>
              <w:t>7</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ascii="Times New Roman" w:hAnsi="Times New Roman" w:cs="Times New Roman" w:eastAsiaTheme="minorEastAsia"/>
                <w:kern w:val="2"/>
                <w:sz w:val="24"/>
                <w:szCs w:val="24"/>
                <w:lang w:val="en-US" w:eastAsia="zh-CN" w:bidi="ar-SA"/>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副主任医师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eastAsia="宋体" w:cs="Times New Roman"/>
                <w:kern w:val="2"/>
                <w:sz w:val="24"/>
                <w:szCs w:val="20"/>
                <w:lang w:val="en-US" w:eastAsia="zh-CN" w:bidi="ar-SA"/>
              </w:rPr>
            </w:pPr>
            <w:r>
              <w:rPr>
                <w:rFonts w:hint="eastAsia"/>
                <w:sz w:val="24"/>
                <w:lang w:eastAsia="zh-CN"/>
              </w:rPr>
              <w:t>碘缺乏病防治研究</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李鸽</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val="en-US" w:eastAsia="zh-CN"/>
              </w:rPr>
              <w:t>8</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主管医师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lang w:eastAsia="zh-CN"/>
              </w:rPr>
            </w:pPr>
            <w:r>
              <w:rPr>
                <w:rFonts w:hint="eastAsia"/>
                <w:lang w:eastAsia="zh-CN"/>
              </w:rPr>
              <w:t>项目执行</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05" w:hRule="atLeast"/>
          <w:tblHeader/>
        </w:trPr>
        <w:tc>
          <w:tcPr>
            <w:tcW w:w="5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张盼红</w:t>
            </w:r>
          </w:p>
        </w:tc>
        <w:tc>
          <w:tcPr>
            <w:tcW w:w="3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default" w:eastAsiaTheme="minorEastAsia"/>
                <w:sz w:val="24"/>
                <w:szCs w:val="24"/>
                <w:lang w:val="en-US" w:eastAsia="zh-CN"/>
              </w:rPr>
            </w:pPr>
            <w:r>
              <w:rPr>
                <w:rFonts w:hint="eastAsia" w:eastAsiaTheme="minorEastAsia"/>
                <w:sz w:val="24"/>
                <w:szCs w:val="24"/>
                <w:lang w:val="en-US" w:eastAsia="zh-CN"/>
              </w:rPr>
              <w:t>9</w:t>
            </w:r>
          </w:p>
        </w:tc>
        <w:tc>
          <w:tcPr>
            <w:tcW w:w="425"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eastAsiaTheme="minorEastAsia"/>
                <w:sz w:val="24"/>
                <w:szCs w:val="24"/>
              </w:rPr>
            </w:pPr>
          </w:p>
        </w:tc>
        <w:tc>
          <w:tcPr>
            <w:tcW w:w="5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Theme="minorEastAsia"/>
                <w:sz w:val="24"/>
                <w:szCs w:val="24"/>
                <w:lang w:eastAsia="zh-CN"/>
              </w:rPr>
            </w:pPr>
            <w:r>
              <w:rPr>
                <w:rFonts w:hint="eastAsia" w:eastAsiaTheme="minorEastAsia"/>
                <w:sz w:val="24"/>
                <w:szCs w:val="24"/>
                <w:lang w:eastAsia="zh-CN"/>
              </w:rPr>
              <w:t>主管医师</w:t>
            </w:r>
          </w:p>
        </w:tc>
        <w:tc>
          <w:tcPr>
            <w:tcW w:w="6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9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ascii="Times New Roman" w:hAnsi="Times New Roman" w:cs="Times New Roman" w:eastAsiaTheme="minorEastAsia"/>
                <w:kern w:val="2"/>
                <w:sz w:val="24"/>
                <w:szCs w:val="24"/>
                <w:lang w:val="en-US" w:eastAsia="zh-CN" w:bidi="ar-SA"/>
              </w:rPr>
            </w:pPr>
            <w:r>
              <w:rPr>
                <w:rFonts w:hint="eastAsia" w:eastAsiaTheme="minorEastAsia"/>
                <w:sz w:val="24"/>
                <w:szCs w:val="24"/>
                <w:lang w:eastAsia="zh-CN"/>
              </w:rPr>
              <w:t>陕西省地方病防治研究所</w:t>
            </w:r>
          </w:p>
        </w:tc>
        <w:tc>
          <w:tcPr>
            <w:tcW w:w="14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jc w:val="center"/>
              <w:rPr>
                <w:rFonts w:hint="eastAsia" w:eastAsia="宋体"/>
                <w:sz w:val="24"/>
                <w:szCs w:val="24"/>
                <w:lang w:eastAsia="zh-CN"/>
              </w:rPr>
            </w:pPr>
            <w:r>
              <w:rPr>
                <w:rFonts w:hint="eastAsia"/>
                <w:sz w:val="24"/>
                <w:szCs w:val="24"/>
                <w:lang w:eastAsia="zh-CN"/>
              </w:rPr>
              <w:t>项目执行</w:t>
            </w:r>
          </w:p>
        </w:tc>
      </w:tr>
    </w:tbl>
    <w:p>
      <w:pPr>
        <w:jc w:val="left"/>
        <w:rPr>
          <w:rFonts w:eastAsiaTheme="minorEastAsia"/>
          <w:b/>
          <w:sz w:val="24"/>
          <w:szCs w:val="24"/>
        </w:rPr>
      </w:pPr>
    </w:p>
    <w:p>
      <w:pPr>
        <w:jc w:val="left"/>
        <w:rPr>
          <w:rFonts w:eastAsiaTheme="minorEastAsia"/>
          <w:b/>
          <w:sz w:val="24"/>
          <w:szCs w:val="24"/>
        </w:rPr>
      </w:pPr>
      <w:r>
        <w:rPr>
          <w:rFonts w:hint="eastAsia" w:eastAsiaTheme="minorEastAsia"/>
          <w:b/>
          <w:sz w:val="24"/>
          <w:szCs w:val="24"/>
        </w:rPr>
        <w:t>七、</w:t>
      </w:r>
      <w:r>
        <w:rPr>
          <w:rFonts w:eastAsiaTheme="minorEastAsia"/>
          <w:b/>
          <w:sz w:val="24"/>
          <w:szCs w:val="24"/>
        </w:rPr>
        <w:t>主要完成单位情况</w:t>
      </w:r>
    </w:p>
    <w:tbl>
      <w:tblPr>
        <w:tblStyle w:val="6"/>
        <w:tblW w:w="8415" w:type="dxa"/>
        <w:jc w:val="center"/>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908"/>
        <w:gridCol w:w="2266"/>
        <w:gridCol w:w="5241"/>
      </w:tblGrid>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632" w:hRule="atLeast"/>
          <w:tblHeader/>
          <w:jc w:val="center"/>
        </w:trPr>
        <w:tc>
          <w:tcPr>
            <w:tcW w:w="9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b/>
                <w:sz w:val="24"/>
                <w:szCs w:val="24"/>
              </w:rPr>
            </w:pPr>
            <w:r>
              <w:rPr>
                <w:rFonts w:eastAsiaTheme="minorEastAsia"/>
                <w:b/>
                <w:sz w:val="24"/>
                <w:szCs w:val="24"/>
              </w:rPr>
              <w:t>排名</w:t>
            </w:r>
          </w:p>
        </w:tc>
        <w:tc>
          <w:tcPr>
            <w:tcW w:w="22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b/>
                <w:sz w:val="24"/>
                <w:szCs w:val="24"/>
              </w:rPr>
            </w:pPr>
            <w:r>
              <w:rPr>
                <w:rFonts w:eastAsiaTheme="minorEastAsia"/>
                <w:b/>
                <w:sz w:val="24"/>
                <w:szCs w:val="24"/>
              </w:rPr>
              <w:t>单位名称</w:t>
            </w:r>
          </w:p>
        </w:tc>
        <w:tc>
          <w:tcPr>
            <w:tcW w:w="52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b/>
                <w:sz w:val="24"/>
                <w:szCs w:val="24"/>
              </w:rPr>
            </w:pPr>
            <w:r>
              <w:rPr>
                <w:rFonts w:eastAsiaTheme="minorEastAsia"/>
                <w:b/>
                <w:sz w:val="24"/>
                <w:szCs w:val="24"/>
              </w:rPr>
              <w:t>主要贡献</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632" w:hRule="atLeast"/>
          <w:tblHeader/>
          <w:jc w:val="center"/>
        </w:trPr>
        <w:tc>
          <w:tcPr>
            <w:tcW w:w="9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hint="eastAsia" w:eastAsiaTheme="minorEastAsia"/>
                <w:sz w:val="24"/>
                <w:szCs w:val="24"/>
              </w:rPr>
              <w:t>1</w:t>
            </w:r>
          </w:p>
        </w:tc>
        <w:tc>
          <w:tcPr>
            <w:tcW w:w="22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hint="eastAsia" w:eastAsiaTheme="minorEastAsia"/>
                <w:sz w:val="24"/>
                <w:szCs w:val="24"/>
                <w:lang w:eastAsia="zh-CN"/>
              </w:rPr>
            </w:pPr>
            <w:r>
              <w:rPr>
                <w:rFonts w:hint="eastAsia" w:eastAsiaTheme="minorEastAsia"/>
                <w:sz w:val="24"/>
                <w:szCs w:val="24"/>
                <w:lang w:eastAsia="zh-CN"/>
              </w:rPr>
              <w:t>陕西省地方病防治研究所</w:t>
            </w:r>
          </w:p>
        </w:tc>
        <w:tc>
          <w:tcPr>
            <w:tcW w:w="5241" w:type="dxa"/>
            <w:tcBorders>
              <w:top w:val="single" w:color="000000" w:sz="4" w:space="0"/>
              <w:left w:val="single" w:color="000000" w:sz="4" w:space="0"/>
              <w:bottom w:val="single" w:color="000000" w:sz="4" w:space="0"/>
              <w:right w:val="single" w:color="000000" w:sz="4" w:space="0"/>
            </w:tcBorders>
            <w:shd w:val="clear" w:color="auto" w:fill="FFFFFF"/>
          </w:tcPr>
          <w:p>
            <w:pPr>
              <w:autoSpaceDE w:val="0"/>
              <w:autoSpaceDN w:val="0"/>
              <w:adjustRightInd w:val="0"/>
              <w:spacing w:line="360" w:lineRule="auto"/>
              <w:jc w:val="left"/>
              <w:rPr>
                <w:rFonts w:hint="eastAsia" w:eastAsiaTheme="minorEastAsia"/>
                <w:sz w:val="24"/>
                <w:szCs w:val="24"/>
                <w:lang w:eastAsia="zh-CN"/>
              </w:rPr>
            </w:pPr>
            <w:r>
              <w:rPr>
                <w:rFonts w:hint="eastAsia" w:eastAsiaTheme="minorEastAsia"/>
                <w:sz w:val="24"/>
                <w:szCs w:val="24"/>
                <w:lang w:eastAsia="zh-CN"/>
              </w:rPr>
              <w:t>全省地方病病情调查、流行特点研究，病区确定，开展防治措施研究为防治策略制定提供科学依据，防治成果显著。</w:t>
            </w:r>
          </w:p>
        </w:tc>
      </w:tr>
      <w:tr>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632" w:hRule="atLeast"/>
          <w:tblHeader/>
          <w:jc w:val="center"/>
        </w:trPr>
        <w:tc>
          <w:tcPr>
            <w:tcW w:w="9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eastAsiaTheme="minorEastAsia"/>
                <w:sz w:val="24"/>
                <w:szCs w:val="24"/>
              </w:rPr>
            </w:pPr>
            <w:r>
              <w:rPr>
                <w:rFonts w:hint="eastAsia" w:eastAsiaTheme="minorEastAsia"/>
                <w:sz w:val="24"/>
                <w:szCs w:val="24"/>
              </w:rPr>
              <w:t>2</w:t>
            </w:r>
          </w:p>
        </w:tc>
        <w:tc>
          <w:tcPr>
            <w:tcW w:w="22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0" w:lineRule="auto"/>
              <w:jc w:val="center"/>
              <w:rPr>
                <w:rFonts w:hint="eastAsia" w:eastAsiaTheme="minorEastAsia"/>
                <w:sz w:val="24"/>
                <w:szCs w:val="24"/>
                <w:lang w:eastAsia="zh-CN"/>
              </w:rPr>
            </w:pPr>
            <w:r>
              <w:rPr>
                <w:rFonts w:hint="eastAsia" w:eastAsiaTheme="minorEastAsia"/>
                <w:sz w:val="24"/>
                <w:szCs w:val="24"/>
                <w:lang w:eastAsia="zh-CN"/>
              </w:rPr>
              <w:t>西安交通大学</w:t>
            </w:r>
          </w:p>
        </w:tc>
        <w:tc>
          <w:tcPr>
            <w:tcW w:w="5241" w:type="dxa"/>
            <w:tcBorders>
              <w:top w:val="single" w:color="000000" w:sz="4" w:space="0"/>
              <w:left w:val="single" w:color="000000" w:sz="4" w:space="0"/>
              <w:bottom w:val="single" w:color="000000" w:sz="4" w:space="0"/>
              <w:right w:val="single" w:color="000000" w:sz="4" w:space="0"/>
            </w:tcBorders>
            <w:shd w:val="clear" w:color="auto" w:fill="FFFFFF"/>
          </w:tcPr>
          <w:p>
            <w:pPr>
              <w:autoSpaceDE w:val="0"/>
              <w:autoSpaceDN w:val="0"/>
              <w:adjustRightInd w:val="0"/>
              <w:spacing w:line="360" w:lineRule="auto"/>
              <w:jc w:val="left"/>
              <w:rPr>
                <w:rFonts w:hint="eastAsia" w:eastAsiaTheme="minorEastAsia"/>
                <w:sz w:val="24"/>
                <w:szCs w:val="24"/>
                <w:lang w:eastAsia="zh-CN"/>
              </w:rPr>
            </w:pPr>
            <w:r>
              <w:rPr>
                <w:rFonts w:hint="eastAsia" w:eastAsiaTheme="minorEastAsia"/>
                <w:sz w:val="24"/>
                <w:szCs w:val="24"/>
                <w:lang w:eastAsia="zh-CN"/>
              </w:rPr>
              <w:t>开展大骨节病等发病机制研究，取得突破。</w:t>
            </w:r>
          </w:p>
        </w:tc>
      </w:tr>
    </w:tbl>
    <w:p>
      <w:pPr>
        <w:spacing w:line="360" w:lineRule="exact"/>
        <w:rPr>
          <w:rFonts w:eastAsiaTheme="minorEastAsia"/>
          <w:b/>
          <w:sz w:val="24"/>
          <w:szCs w:val="24"/>
        </w:rPr>
      </w:pPr>
    </w:p>
    <w:p>
      <w:pPr>
        <w:spacing w:line="360" w:lineRule="exact"/>
        <w:rPr>
          <w:rFonts w:eastAsiaTheme="minorEastAsia"/>
          <w:b/>
          <w:sz w:val="24"/>
          <w:szCs w:val="24"/>
        </w:rPr>
      </w:pPr>
      <w:r>
        <w:rPr>
          <w:rFonts w:hint="eastAsia" w:eastAsiaTheme="minorEastAsia"/>
          <w:b/>
          <w:sz w:val="24"/>
          <w:szCs w:val="24"/>
        </w:rPr>
        <w:t>八、</w:t>
      </w:r>
      <w:r>
        <w:rPr>
          <w:rFonts w:eastAsiaTheme="minorEastAsia"/>
          <w:b/>
          <w:sz w:val="24"/>
          <w:szCs w:val="24"/>
        </w:rPr>
        <w:t>完成人合作关系说明</w:t>
      </w:r>
    </w:p>
    <w:p>
      <w:pPr>
        <w:pStyle w:val="10"/>
        <w:snapToGrid w:val="0"/>
        <w:spacing w:before="156" w:beforeLines="50" w:line="440" w:lineRule="exact"/>
        <w:ind w:firstLine="590" w:firstLineChars="246"/>
      </w:pPr>
      <w:r>
        <w:rPr>
          <w:rFonts w:hint="eastAsia"/>
        </w:rPr>
        <w:t>完成人</w:t>
      </w:r>
      <w:r>
        <w:rPr>
          <w:rFonts w:hint="eastAsia"/>
          <w:lang w:eastAsia="zh-CN"/>
        </w:rPr>
        <w:t>张清平、杨晓栋、宋运龙、徐纲要、范中学、段刚、李鸽、张盼红等为陕西省地方病防治研究所工作人员</w:t>
      </w:r>
      <w:r>
        <w:rPr>
          <w:rFonts w:hint="eastAsia"/>
        </w:rPr>
        <w:t>，</w:t>
      </w:r>
      <w:r>
        <w:rPr>
          <w:rFonts w:hint="eastAsia"/>
          <w:lang w:eastAsia="zh-CN"/>
        </w:rPr>
        <w:t>刘欢为西安交通大学工作人员</w:t>
      </w:r>
      <w:r>
        <w:rPr>
          <w:rFonts w:hint="eastAsia"/>
        </w:rPr>
        <w:t>，上述人员已进行了长期的合作。</w:t>
      </w:r>
      <w:r>
        <w:t xml:space="preserve"> </w:t>
      </w:r>
    </w:p>
    <w:p>
      <w:pPr>
        <w:pStyle w:val="10"/>
        <w:snapToGrid w:val="0"/>
        <w:spacing w:before="156" w:beforeLines="50" w:line="440" w:lineRule="exact"/>
        <w:ind w:firstLine="590" w:firstLineChars="246"/>
      </w:pPr>
      <w:r>
        <w:rPr>
          <w:rFonts w:hint="eastAsia"/>
          <w:lang w:eastAsia="zh-CN"/>
        </w:rPr>
        <w:t>张清平</w:t>
      </w:r>
      <w:r>
        <w:rPr>
          <w:rFonts w:hint="eastAsia"/>
        </w:rPr>
        <w:t>为本项目负责人，</w:t>
      </w:r>
      <w:r>
        <w:rPr>
          <w:rFonts w:hint="eastAsia"/>
          <w:lang w:eastAsia="zh-CN"/>
        </w:rPr>
        <w:t>杨晓栋、宋运龙、徐纲要、范中学、段刚、李鸽、张盼红</w:t>
      </w:r>
      <w:r>
        <w:rPr>
          <w:rFonts w:hint="eastAsia"/>
        </w:rPr>
        <w:t>为本项目骨干，分别为本项目多篇研究论文的作者以及</w:t>
      </w:r>
      <w:r>
        <w:rPr>
          <w:rFonts w:hint="eastAsia"/>
          <w:lang w:eastAsia="zh-CN"/>
        </w:rPr>
        <w:t>防治项目的主要实施人</w:t>
      </w:r>
      <w:r>
        <w:rPr>
          <w:rFonts w:hint="eastAsia"/>
        </w:rPr>
        <w:t>，在</w:t>
      </w:r>
      <w:r>
        <w:rPr>
          <w:rFonts w:hint="eastAsia"/>
          <w:lang w:eastAsia="zh-CN"/>
        </w:rPr>
        <w:t>地方病病情调查、防治措施研究、效果评价</w:t>
      </w:r>
      <w:r>
        <w:rPr>
          <w:rFonts w:hint="eastAsia"/>
        </w:rPr>
        <w:t>中做出了重要贡献。</w:t>
      </w:r>
      <w:r>
        <w:t xml:space="preserve"> </w:t>
      </w:r>
    </w:p>
    <w:p>
      <w:pPr>
        <w:pStyle w:val="10"/>
        <w:snapToGrid w:val="0"/>
        <w:spacing w:before="156" w:beforeLines="50" w:line="440" w:lineRule="exact"/>
        <w:ind w:firstLine="590" w:firstLineChars="246"/>
        <w:rPr>
          <w:rFonts w:eastAsiaTheme="minorEastAsia"/>
        </w:rPr>
      </w:pPr>
      <w:r>
        <w:rPr>
          <w:rFonts w:hint="eastAsia"/>
          <w:lang w:eastAsia="zh-CN"/>
        </w:rPr>
        <w:t>西安交通大学</w:t>
      </w:r>
      <w:r>
        <w:rPr>
          <w:rFonts w:hint="eastAsia"/>
        </w:rPr>
        <w:t>在本项目中主要</w:t>
      </w:r>
      <w:r>
        <w:rPr>
          <w:rFonts w:hint="eastAsia"/>
          <w:lang w:eastAsia="zh-CN"/>
        </w:rPr>
        <w:t>负责大骨节病等病因及发病机制研究，</w:t>
      </w:r>
      <w:r>
        <w:rPr>
          <w:rFonts w:hint="eastAsia"/>
        </w:rPr>
        <w:t>与</w:t>
      </w:r>
      <w:r>
        <w:rPr>
          <w:rFonts w:hint="eastAsia"/>
          <w:lang w:eastAsia="zh-CN"/>
        </w:rPr>
        <w:t>陕西省地方病防治研究所</w:t>
      </w:r>
      <w:r>
        <w:rPr>
          <w:rFonts w:hint="eastAsia"/>
        </w:rPr>
        <w:t>团队长期合作，联合攻关，在</w:t>
      </w:r>
      <w:r>
        <w:rPr>
          <w:rFonts w:hint="eastAsia"/>
          <w:lang w:eastAsia="zh-CN"/>
        </w:rPr>
        <w:t>病因学研究</w:t>
      </w:r>
      <w:r>
        <w:rPr>
          <w:rFonts w:hint="eastAsia"/>
        </w:rPr>
        <w:t>及相关标准的制订方面做了大量的工作，对</w:t>
      </w:r>
      <w:r>
        <w:rPr>
          <w:rFonts w:hint="eastAsia"/>
          <w:lang w:eastAsia="zh-CN"/>
        </w:rPr>
        <w:t>本项目的顺利实施</w:t>
      </w:r>
      <w:r>
        <w:rPr>
          <w:rFonts w:hint="eastAsia"/>
        </w:rPr>
        <w:t>做出了重要贡献。</w:t>
      </w:r>
      <w:r>
        <w:t xml:space="preserve">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AE70FA"/>
    <w:multiLevelType w:val="multilevel"/>
    <w:tmpl w:val="7CAE70FA"/>
    <w:lvl w:ilvl="0" w:tentative="0">
      <w:start w:val="1"/>
      <w:numFmt w:val="japaneseCounting"/>
      <w:lvlText w:val="%1、"/>
      <w:lvlJc w:val="left"/>
      <w:pPr>
        <w:ind w:left="720" w:hanging="720"/>
      </w:pPr>
      <w:rPr>
        <w:rFonts w:ascii="宋体" w:hAnsi="宋体" w:eastAsia="宋体" w:cs="Times New Roman"/>
      </w:rPr>
    </w:lvl>
    <w:lvl w:ilvl="1" w:tentative="0">
      <w:start w:val="2"/>
      <w:numFmt w:val="japaneseCounting"/>
      <w:lvlText w:val="%2、"/>
      <w:lvlJc w:val="left"/>
      <w:pPr>
        <w:ind w:left="1382" w:hanging="48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MjlhNWY4YTJlZGRjMjk2MDJmNThkMWNlZWViOGIifQ=="/>
  </w:docVars>
  <w:rsids>
    <w:rsidRoot w:val="42F52E3B"/>
    <w:rsid w:val="1E786997"/>
    <w:rsid w:val="26EE3FA8"/>
    <w:rsid w:val="42F52E3B"/>
    <w:rsid w:val="47FA5B8C"/>
    <w:rsid w:val="48D067BB"/>
    <w:rsid w:val="647F2442"/>
    <w:rsid w:val="7EE43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spacing w:line="660" w:lineRule="exact"/>
      <w:ind w:firstLine="720" w:firstLineChars="200"/>
    </w:pPr>
    <w:rPr>
      <w:rFonts w:ascii="Calibri" w:hAnsi="Calibri" w:eastAsia="楷体_GB2312"/>
      <w:sz w:val="36"/>
    </w:rPr>
  </w:style>
  <w:style w:type="paragraph" w:styleId="3">
    <w:name w:val="Body Text"/>
    <w:basedOn w:val="1"/>
    <w:unhideWhenUsed/>
    <w:qFormat/>
    <w:uiPriority w:val="1"/>
    <w:pPr>
      <w:autoSpaceDE w:val="0"/>
      <w:autoSpaceDN w:val="0"/>
      <w:ind w:left="884"/>
      <w:jc w:val="left"/>
    </w:pPr>
    <w:rPr>
      <w:rFonts w:ascii="Arial Narrow" w:hAnsi="Arial Narrow" w:eastAsia="Arial Narrow" w:cs="Arial Narrow"/>
      <w:kern w:val="0"/>
      <w:sz w:val="22"/>
      <w:lang w:eastAsia="en-US" w:bidi="en-US"/>
    </w:rPr>
  </w:style>
  <w:style w:type="paragraph" w:styleId="4">
    <w:name w:val="Plain Text"/>
    <w:basedOn w:val="1"/>
    <w:qFormat/>
    <w:uiPriority w:val="0"/>
    <w:pPr>
      <w:spacing w:line="360" w:lineRule="auto"/>
      <w:ind w:firstLine="480" w:firstLineChars="200"/>
    </w:pPr>
    <w:rPr>
      <w:rFonts w:ascii="仿宋_GB2312"/>
      <w:sz w:val="24"/>
      <w:lang w:val="zh-CN" w:eastAsia="zh-CN"/>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Default"/>
    <w:qFormat/>
    <w:uiPriority w:val="0"/>
    <w:pPr>
      <w:widowControl w:val="0"/>
      <w:autoSpaceDE w:val="0"/>
      <w:autoSpaceDN w:val="0"/>
      <w:adjustRightInd w:val="0"/>
    </w:pPr>
    <w:rPr>
      <w:rFonts w:ascii="宋体" w:hAnsi="等线"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5471</Words>
  <Characters>6734</Characters>
  <Lines>0</Lines>
  <Paragraphs>0</Paragraphs>
  <TotalTime>5</TotalTime>
  <ScaleCrop>false</ScaleCrop>
  <LinksUpToDate>false</LinksUpToDate>
  <CharactersWithSpaces>6871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2022-06-21T02:17:00Z</dcterms:created>
  <dc:creator>鱼香肉丝</dc:creator>
  <cp:lastModifiedBy>陕西省卫生健康委员会</cp:lastModifiedBy>
  <dcterms:modified xsi:type="dcterms:W3CDTF">2022-07-07T08:14:03Z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8A835985DDD74B5D99DB5DE97EDE9EE4</vt:lpwstr>
  </property>
</Properties>
</file>