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仿宋" w:hAnsi="仿宋" w:eastAsia="仿宋" w:cs="仿宋"/>
          <w:color w:val="FF0000"/>
          <w:sz w:val="30"/>
          <w:szCs w:val="30"/>
          <w:lang w:eastAsia="zh-Hans"/>
        </w:rPr>
      </w:pPr>
      <w:r>
        <w:rPr>
          <w:rFonts w:hint="eastAsia" w:ascii="黑体" w:hAnsi="黑体" w:eastAsia="黑体" w:cs="黑体"/>
          <w:b w:val="0"/>
          <w:bCs/>
          <w:sz w:val="32"/>
          <w:szCs w:val="32"/>
          <w:lang w:val="zh-CN"/>
        </w:rPr>
        <w:t>一、项目名称：</w:t>
      </w:r>
      <w:r>
        <w:rPr>
          <w:rFonts w:hint="eastAsia" w:ascii="仿宋" w:hAnsi="仿宋" w:eastAsia="仿宋" w:cs="仿宋"/>
          <w:kern w:val="0"/>
          <w:sz w:val="30"/>
          <w:szCs w:val="30"/>
        </w:rPr>
        <w:t>不孕不育精</w:t>
      </w:r>
      <w:r>
        <w:rPr>
          <w:rFonts w:hint="eastAsia" w:ascii="仿宋" w:hAnsi="仿宋" w:eastAsia="仿宋" w:cs="仿宋"/>
          <w:sz w:val="30"/>
          <w:szCs w:val="30"/>
        </w:rPr>
        <w:t>准化诊治</w:t>
      </w:r>
      <w:r>
        <w:rPr>
          <w:rFonts w:hint="eastAsia" w:ascii="仿宋" w:hAnsi="仿宋" w:eastAsia="仿宋" w:cs="仿宋"/>
          <w:sz w:val="30"/>
          <w:szCs w:val="30"/>
          <w:lang w:eastAsia="zh-Hans"/>
        </w:rPr>
        <w:t>关键技术创新与临床应用</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b w:val="0"/>
          <w:bCs/>
          <w:sz w:val="32"/>
          <w:szCs w:val="32"/>
          <w:lang w:val="zh-CN" w:eastAsia="zh-Hans"/>
        </w:rPr>
      </w:pPr>
      <w:r>
        <w:rPr>
          <w:rFonts w:hint="eastAsia" w:ascii="黑体" w:hAnsi="黑体" w:eastAsia="黑体" w:cs="黑体"/>
          <w:b w:val="0"/>
          <w:bCs/>
          <w:sz w:val="32"/>
          <w:szCs w:val="32"/>
          <w:lang w:val="zh-CN"/>
        </w:rPr>
        <w:t>二、提名者及提名意见</w:t>
      </w:r>
    </w:p>
    <w:p>
      <w:pPr>
        <w:keepNext w:val="0"/>
        <w:keepLines w:val="0"/>
        <w:pageBreakBefore w:val="0"/>
        <w:widowControl w:val="0"/>
        <w:kinsoku/>
        <w:wordWrap/>
        <w:overflowPunct/>
        <w:topLinePunct w:val="0"/>
        <w:bidi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提名单位：陕西省卫生健康委员会</w:t>
      </w:r>
    </w:p>
    <w:p>
      <w:pPr>
        <w:keepNext w:val="0"/>
        <w:keepLines w:val="0"/>
        <w:pageBreakBefore w:val="0"/>
        <w:widowControl w:val="0"/>
        <w:kinsoku/>
        <w:wordWrap/>
        <w:overflowPunct/>
        <w:topLinePunct w:val="0"/>
        <w:bidi w:val="0"/>
        <w:spacing w:line="560" w:lineRule="exact"/>
        <w:ind w:firstLine="600" w:firstLineChars="200"/>
        <w:rPr>
          <w:rFonts w:hint="eastAsia" w:ascii="仿宋" w:hAnsi="仿宋" w:eastAsia="仿宋" w:cs="仿宋"/>
          <w:i/>
          <w:color w:val="000000"/>
          <w:kern w:val="0"/>
          <w:sz w:val="30"/>
          <w:szCs w:val="30"/>
        </w:rPr>
      </w:pPr>
      <w:r>
        <w:rPr>
          <w:rFonts w:hint="eastAsia" w:ascii="仿宋" w:hAnsi="仿宋" w:eastAsia="仿宋" w:cs="仿宋"/>
          <w:sz w:val="30"/>
          <w:szCs w:val="30"/>
        </w:rPr>
        <w:t>提名意见：</w:t>
      </w:r>
      <w:r>
        <w:rPr>
          <w:rFonts w:hint="eastAsia" w:ascii="仿宋" w:hAnsi="仿宋" w:eastAsia="仿宋" w:cs="仿宋"/>
          <w:sz w:val="30"/>
          <w:szCs w:val="30"/>
          <w:lang w:eastAsia="zh-CN"/>
        </w:rPr>
        <w:t>拟提名为</w:t>
      </w:r>
      <w:bookmarkStart w:id="1" w:name="_GoBack"/>
      <w:bookmarkEnd w:id="1"/>
      <w:r>
        <w:rPr>
          <w:rFonts w:hint="eastAsia" w:ascii="仿宋" w:hAnsi="仿宋" w:eastAsia="仿宋" w:cs="仿宋"/>
          <w:sz w:val="30"/>
          <w:szCs w:val="30"/>
          <w:lang w:eastAsia="zh-CN"/>
        </w:rPr>
        <w:t>科技进步奖</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三、项目简介</w:t>
      </w:r>
    </w:p>
    <w:p>
      <w:pPr>
        <w:keepNext w:val="0"/>
        <w:keepLines w:val="0"/>
        <w:pageBreakBefore w:val="0"/>
        <w:widowControl w:val="0"/>
        <w:kinsoku/>
        <w:wordWrap/>
        <w:overflowPunct/>
        <w:topLinePunct w:val="0"/>
        <w:autoSpaceDE w:val="0"/>
        <w:autoSpaceDN w:val="0"/>
        <w:bidi w:val="0"/>
        <w:adjustRightInd w:val="0"/>
        <w:spacing w:before="120" w:beforeLines="50"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项目主要开展不孕不育疾病辅助生殖技术治疗。在诊疗过程中通过优化辅助生殖技术、单胚胎移植、植入前遗传学检测、卵子及胚胎发育关键基因的研究和筛查、不孕不育疾病的临床诊疗优化和西北生殖联盟适宜技术推广。基于西北地区最大的生殖基地，整个项目围绕辅助生殖技术精准化诊治及其技术推广进行，有效地降低了多胎率和围产母婴风险；降低出生缺陷、提高出生人口质量；精准化诊断和临床技术优化，提高临床妊娠结局，降低患者医疗费用；医联体协作网络，实现患者和医生在基层和医疗中心的双向流动和远程医疗，使得基层患者就诊更加便捷。</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四、科技创新</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本项目属于医药与卫生领域。本项目主要特色是</w:t>
      </w:r>
      <w:r>
        <w:rPr>
          <w:rFonts w:hint="eastAsia" w:ascii="仿宋" w:hAnsi="仿宋" w:eastAsia="仿宋" w:cs="仿宋"/>
          <w:sz w:val="30"/>
          <w:szCs w:val="30"/>
          <w:lang w:eastAsia="zh-Hans"/>
        </w:rPr>
        <w:t>不孕症精准化诊治关键技术创新及临床</w:t>
      </w:r>
      <w:r>
        <w:rPr>
          <w:rFonts w:hint="eastAsia" w:ascii="仿宋" w:hAnsi="仿宋" w:eastAsia="仿宋" w:cs="仿宋"/>
          <w:sz w:val="30"/>
          <w:szCs w:val="30"/>
          <w:lang w:val="en-US" w:eastAsia="zh-Hans"/>
        </w:rPr>
        <w:t>应用</w:t>
      </w:r>
      <w:r>
        <w:rPr>
          <w:rFonts w:hint="eastAsia" w:ascii="仿宋" w:hAnsi="仿宋" w:eastAsia="仿宋" w:cs="仿宋"/>
          <w:sz w:val="30"/>
          <w:szCs w:val="30"/>
        </w:rPr>
        <w:t>，技术创新内容如下：</w:t>
      </w:r>
    </w:p>
    <w:p>
      <w:pPr>
        <w:pStyle w:val="2"/>
        <w:keepNext w:val="0"/>
        <w:keepLines w:val="0"/>
        <w:pageBreakBefore w:val="0"/>
        <w:widowControl w:val="0"/>
        <w:numPr>
          <w:ilvl w:val="0"/>
          <w:numId w:val="0"/>
        </w:numPr>
        <w:kinsoku/>
        <w:wordWrap/>
        <w:overflowPunct/>
        <w:topLinePunct w:val="0"/>
        <w:bidi w:val="0"/>
        <w:spacing w:line="560" w:lineRule="exact"/>
        <w:ind w:left="560" w:leftChars="0"/>
        <w:jc w:val="lef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hint="eastAsia" w:ascii="仿宋" w:hAnsi="仿宋" w:eastAsia="仿宋" w:cs="仿宋"/>
          <w:sz w:val="30"/>
          <w:szCs w:val="30"/>
        </w:rPr>
        <w:t>治疗10万对不孕不育夫妇，出生5.</w:t>
      </w:r>
      <w:r>
        <w:rPr>
          <w:rFonts w:hint="eastAsia" w:ascii="仿宋" w:hAnsi="仿宋" w:eastAsia="仿宋" w:cs="仿宋"/>
          <w:sz w:val="30"/>
          <w:szCs w:val="30"/>
          <w:lang w:eastAsia="zh-Hans"/>
        </w:rPr>
        <w:t>2</w:t>
      </w:r>
      <w:r>
        <w:rPr>
          <w:rFonts w:hint="eastAsia" w:ascii="仿宋" w:hAnsi="仿宋" w:eastAsia="仿宋" w:cs="仿宋"/>
          <w:sz w:val="30"/>
          <w:szCs w:val="30"/>
          <w:lang w:val="en-US" w:eastAsia="zh-Hans"/>
        </w:rPr>
        <w:t>万</w:t>
      </w:r>
      <w:r>
        <w:rPr>
          <w:rFonts w:hint="eastAsia" w:ascii="仿宋" w:hAnsi="仿宋" w:eastAsia="仿宋" w:cs="仿宋"/>
          <w:sz w:val="30"/>
          <w:szCs w:val="30"/>
        </w:rPr>
        <w:t>名试管婴儿</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西北妇女儿童医院生殖中心成立于2001年，现已发展成为</w:t>
      </w:r>
      <w:r>
        <w:rPr>
          <w:rFonts w:hint="eastAsia" w:ascii="仿宋" w:hAnsi="仿宋" w:eastAsia="仿宋" w:cs="仿宋"/>
          <w:bCs/>
          <w:sz w:val="30"/>
          <w:szCs w:val="30"/>
        </w:rPr>
        <w:t>西北地区第一的辅助生殖技术中心，业务量居全国前六</w:t>
      </w:r>
      <w:r>
        <w:rPr>
          <w:rFonts w:hint="eastAsia" w:ascii="仿宋" w:hAnsi="仿宋" w:eastAsia="仿宋" w:cs="仿宋"/>
          <w:sz w:val="30"/>
          <w:szCs w:val="30"/>
        </w:rPr>
        <w:t>。生殖中心以习近平总书记“面向世界科技前沿、面向经济主战场、面向国家重大需求、面向人民生命健康”的战略部署，针对国家提高生育率的重大需求和人民群众优生优育的健康需求，截止2022年5月31日，通过辅助生殖技术共治疗了10万对不孕不育夫妇，</w:t>
      </w:r>
      <w:bookmarkStart w:id="0" w:name="_Hlk106784848"/>
      <w:r>
        <w:rPr>
          <w:rFonts w:hint="eastAsia" w:ascii="仿宋" w:hAnsi="仿宋" w:eastAsia="仿宋" w:cs="仿宋"/>
          <w:sz w:val="30"/>
          <w:szCs w:val="30"/>
        </w:rPr>
        <w:t>其中试管婴儿8.5万余周期，人工授精1.5万余周期。共出生试管婴儿52164名，其中男婴27603名，女婴24561名</w:t>
      </w:r>
      <w:bookmarkEnd w:id="0"/>
      <w:r>
        <w:rPr>
          <w:rFonts w:hint="eastAsia" w:ascii="仿宋" w:hAnsi="仿宋" w:eastAsia="仿宋" w:cs="仿宋"/>
          <w:sz w:val="30"/>
          <w:szCs w:val="30"/>
        </w:rPr>
        <w:t>。近五年年门诊量40万人次，2017年1月1日至2022年5月31日，共完成新鲜体外受精取卵周期50457例，冷冻胚胎移植周期34579例，夫精人工授精7533例，供精人工受精7533例。</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西北地区首家、陕西地区唯一的人类精子库在西北妇女儿童医院生殖中心，是国内首个获得 ISO 9001 认证的精子库。生殖中心人类精子库已正式批准运行 10 年，累计冻存精液标本59015份，不仅满足陕西省患者接受供精治疗需求，同时还外供全国 11个省份的 24 家辅助生殖中心。精子库已出库供精人工授精17290管，供精试管11526管，累计解决了6299个男性不育家庭生育问题，出生供精婴儿6576名，其中男婴3536名，女婴3040名。自 2012 年起在西北地区率先开展自精保存业务，先后开展常规精子冷冻、稀少精子冷冻、精子体外培养、睾丸/附睾精子冷冻等技术。截止目前已为 3526 名自精保存者成功冻存精子，其中稀少精子冷冻超过2200人，占比接近 65%。</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西北妇女儿童医院生殖中心2021年在复旦版中国医院专科声誉排行榜位列西北地区第一，全国前六。通过西北妇女儿童医院生殖中心的试管婴儿技术为西北地区的不育不孕人群提供了生育的希望，治疗10万多对不孕不育夫妇，为国家贡献了五万多名健康出生儿，提高了人口数量和质量。对于改善生殖健康、提高人口素质、建设人力资源强国具有重要应用价值。</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（2）完成3817</w:t>
      </w:r>
      <w:r>
        <w:rPr>
          <w:rFonts w:hint="eastAsia" w:ascii="仿宋" w:hAnsi="仿宋" w:eastAsia="仿宋" w:cs="仿宋"/>
          <w:sz w:val="30"/>
          <w:szCs w:val="30"/>
          <w:lang w:val="en-US" w:eastAsia="zh-Hans"/>
        </w:rPr>
        <w:t>枚胚胎遗传学</w:t>
      </w:r>
      <w:r>
        <w:rPr>
          <w:rFonts w:hint="eastAsia" w:ascii="仿宋" w:hAnsi="仿宋" w:eastAsia="仿宋" w:cs="仿宋"/>
          <w:sz w:val="30"/>
          <w:szCs w:val="30"/>
        </w:rPr>
        <w:t>检测，阻断37种单基因遗传病</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西北妇女儿童医院生殖中心为西北首家获批正式运行PGT。目前开展的PGT技术共计已完成1362周期检测筛选（截止2022年5月），平均临床妊娠率高达70%。通过PGT技术已出生健康婴儿505名。其中单基因病目前已接诊74个单基因家系的遗传咨询，病种包括血友病、苯丙酮尿症、遗传型耳聋、脊髓性肌萎缩症、多囊肾、杜氏肌营养不良等37种单基因遗传病。PGT技术将携带异常突变基因胚胎挑选出，进行废弃，从而避免了妊娠后因胎儿异常导致流产或选择性终止妊娠，从根本上阻断遗传病在人类繁衍中传递，优化人类基因图谱。</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截止2022年5月，西北妇女儿童医院生殖中心完成共2000余项扩展性携带者筛查（ECS）项目（夫妻联合筛查），发现携带致病突变或可疑致病突变547项。对这些夫妻进行遗传咨询，告知遗传概率及风险，介绍胚胎植入前遗传学检测技术（PGT）助孕措施，进一步优化生育决策，从源头阻断了严重遗传病患儿的出生。</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（3）发现卵子及胚胎发育异常关键基因，建立配子异常生物样本库</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研究团队发现了首个基因突变（TUBB8）导致人类卵子成熟阻滞并揭示了其致病的分子机制，研究发表于国际顶级杂志新英格兰医学（N Engl J Med. 2016; 374:223-32）；首次发现卵子死亡基因PANX1（Pannexin 1）基因，其突变引起的孟德尔显性遗传病，这些突变体通过影响蛋白糖基化和加速 ATP 释放最终导致卵子死亡（Sang et al., Sci Transl Med. 2019）；研究发现了导致人类合子分裂失败的第一个突变基因BTG4，为人类新孟德尔疾病，并发现了致病机制（Am J Hum Genet. 2020;107(1):24-33.）。这些基础研究发现为相关患者的遗传咨询、分子诊断及个体化干预提供理论基础。现已建立陕西省最大的卵子成熟障碍、胚胎发育障碍、精子发育异常外周血及配子样本库，截止2020年7月已存贮1186份家系外周血样本库。</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（4）不孕不育诊疗技术优化，保障母婴安全</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单胚胎移植技术降低辅助生殖技术多胎并发症：鉴于多胎的产科和新生儿风险，团队从2018年开始移植周期65%为单囊胚或胚胎移植，平均移植胚胎数从2018年初的1.67枚，下降至现在的1.23枚。多胎妊娠率大幅下降，从25.7%下降至6.9%，并且临床妊娠率仍保持在59.2%以上。参考中华医学会汇总中国内地263家生殖中心上报的2018年数据，全国的IVF周期多胎妊娠率为28.64%，平均临床妊娠率为52.49%，我中心的比全国的多胎率降低了4倍，妊娠率高出7%，该技术已成我生殖团队影响全国的标志性技术。</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color w:val="FF0000"/>
          <w:sz w:val="30"/>
          <w:szCs w:val="30"/>
        </w:rPr>
      </w:pPr>
      <w:r>
        <w:rPr>
          <w:rFonts w:hint="eastAsia" w:ascii="仿宋" w:hAnsi="仿宋" w:eastAsia="仿宋" w:cs="仿宋"/>
          <w:sz w:val="30"/>
          <w:szCs w:val="30"/>
        </w:rPr>
        <w:t>西北妇女儿童医院生殖中心科研团队积极开展各项研究，从临床方案到胚胎实验室，从基础到临床。2017年至今，团队共发表论文206篇（SCI 115篇，影响因子共计495.7分），文章发表在American Journal of  Obstetrics and Gynecology、Human Reproduction、Fertility and Sterility等国外顶级期刊。①科研团队对既往冻融移植周期数据进行回顾性队列研究发现，对于月经规律的年轻患者，自然周期的活产率高于人工周期，鉴于此，我中心优化了冻融周期准备内膜方案，提高冻融周期活产率。②科研团队对我中心10年的数据进行回顾性总结发现，囊胚移植与卵裂期胚胎移植相比，二者的围产期不良结局尤其是先天性畸形发生风险没有统计学差异。③囊胚的内细胞团和外胚层的形态特征与单卵双胎发生密切相关，当囊胚具有松散排列的内细胞团和紧密排列的滋养层时，发生单卵双胎的风险增加，分析其原因有可能是松散连接的内细胞团在致密的滋养层扩张时容易被牵拉分离从而形成单卵双胎。该研究为单卵双胎的发生提供了理论发现。这些科研成果转化应用于临床，可为临床咨询及个体化移植方案制定等提供循证医学证据支持。同时，这些科研产出也提高了我中心在西北地区乃至全国的影响力。</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（5）辅助生殖技术安全性和子代出生缺陷防控</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研究团队依托国家重点研发计划建立了7.3万人的出生人口队列，其中辅助生殖队列5万人，收集了孕妇外周血、羊水、胎盘等生物样本12万份。该出生人口队列也是陕西省最大的出生队列和生物样本库。基于出生人口队列研究团队发现了围试管期母亲消瘦增加了IVF子代低出生体重和小于胎龄儿的发生风险，围试管期母亲超重或肥胖增加了IVF子代流产、早产、巨大儿和大于胎龄儿的发生风险，</w:t>
      </w:r>
      <w:r>
        <w:rPr>
          <w:rFonts w:hint="eastAsia" w:ascii="仿宋" w:hAnsi="仿宋" w:eastAsia="仿宋" w:cs="仿宋"/>
          <w:sz w:val="30"/>
          <w:szCs w:val="30"/>
          <w:lang w:eastAsia="zh-Hans"/>
        </w:rPr>
        <w:t>双胎妊娠进一步增加了孕前体质指数对IVF流产的影响。同时发现</w:t>
      </w:r>
      <w:r>
        <w:rPr>
          <w:rFonts w:hint="eastAsia" w:ascii="仿宋" w:hAnsi="仿宋" w:eastAsia="仿宋" w:cs="仿宋"/>
          <w:sz w:val="30"/>
          <w:szCs w:val="30"/>
        </w:rPr>
        <w:t>孕前孕早期叶酸等B族维生素足量服用及铁剂补充可能在预防先天性心脏病等出生缺陷发生上具有重要作用，提出了以避免环境危险因素暴露、计划怀孕、出生缺陷健康教育和微营养素补充的一级预防措施为核心，以胎儿超声产前诊断的二级预防措施为补充的先天性心脏病等出生缺陷的综合预防策略。通过出生人口队列项目的实施，辅助生殖技术出生儿出生缺陷发生率由114/万降低至101/万，早产的发生率由16.39%降低至16.07%，低出生体重生率由12.16%降低至10.21%。团队建成了出生缺陷大数据平台，提高了辅助生殖技术的子代安全性，构建了辅助生殖子代出生缺陷等不良结局的防控策略。</w:t>
      </w:r>
    </w:p>
    <w:p>
      <w:pPr>
        <w:pStyle w:val="2"/>
        <w:keepNext w:val="0"/>
        <w:keepLines w:val="0"/>
        <w:pageBreakBefore w:val="0"/>
        <w:widowControl w:val="0"/>
        <w:kinsoku/>
        <w:wordWrap/>
        <w:overflowPunct/>
        <w:topLinePunct w:val="0"/>
        <w:bidi w:val="0"/>
        <w:spacing w:line="560" w:lineRule="exact"/>
        <w:ind w:firstLine="560"/>
        <w:jc w:val="left"/>
        <w:outlineLvl w:val="1"/>
        <w:rPr>
          <w:rFonts w:hint="eastAsia" w:ascii="仿宋" w:hAnsi="仿宋" w:eastAsia="仿宋" w:cs="仿宋"/>
          <w:bCs/>
          <w:kern w:val="0"/>
          <w:sz w:val="30"/>
          <w:szCs w:val="30"/>
        </w:rPr>
      </w:pPr>
      <w:r>
        <w:rPr>
          <w:rFonts w:hint="eastAsia" w:ascii="仿宋" w:hAnsi="仿宋" w:eastAsia="仿宋" w:cs="仿宋"/>
          <w:bCs/>
          <w:kern w:val="0"/>
          <w:sz w:val="30"/>
          <w:szCs w:val="30"/>
        </w:rPr>
        <w:t>（6）西北生殖联盟适宜技术推广</w:t>
      </w:r>
    </w:p>
    <w:p>
      <w:pPr>
        <w:pStyle w:val="2"/>
        <w:keepNext w:val="0"/>
        <w:keepLines w:val="0"/>
        <w:pageBreakBefore w:val="0"/>
        <w:widowControl w:val="0"/>
        <w:kinsoku/>
        <w:wordWrap/>
        <w:overflowPunct/>
        <w:topLinePunct w:val="0"/>
        <w:bidi w:val="0"/>
        <w:spacing w:line="560" w:lineRule="exact"/>
        <w:ind w:firstLine="560"/>
        <w:jc w:val="left"/>
        <w:outlineLvl w:val="1"/>
        <w:rPr>
          <w:rFonts w:hint="eastAsia" w:ascii="黑体" w:hAnsi="黑体" w:eastAsia="黑体" w:cs="黑体"/>
          <w:b w:val="0"/>
          <w:bCs/>
          <w:sz w:val="32"/>
          <w:szCs w:val="32"/>
          <w:lang w:val="zh-CN"/>
        </w:rPr>
      </w:pPr>
      <w:r>
        <w:rPr>
          <w:rFonts w:hint="eastAsia" w:ascii="仿宋" w:hAnsi="仿宋" w:eastAsia="仿宋" w:cs="仿宋"/>
          <w:bCs/>
          <w:kern w:val="0"/>
          <w:sz w:val="30"/>
          <w:szCs w:val="30"/>
        </w:rPr>
        <w:t>从2018年“陕西省生殖医学联盟”成立开始，联盟常委会就制定了每年联盟巡讲义诊计划，包括陕西省内的榆林、安康、渭南、汉中、铜川、延安、咸阳、宝鸡、商洛共9个地区，每月1期，针对基层医院医生的巡讲及针对各地区不孕不育患者的义诊同时进行。自2018年到2019年共开展17期线下生殖联盟巡讲义诊活动，巡讲义诊组由西北妇女儿童医院生殖中心专家及各地区相关专业专家组成，巡讲议题共11个。每期讲座参会医生约150余人，义诊接诊患者约100余人。因疫情影响，2020年以后联盟巡讲工作转为线上进行，共举办空中课堂7期，专家讲座共15场，邀请联盟单位参与话题讨论共27家，每期空中课堂听课人数300-700不等。自2018年1月至2021年12月，共举办B超监测排卵培训班11期，每期招收学员10-12名。其中基础班8期，零基础学员，理论教学联合实际操作，手把手教学。提高班3期，主要针对已经开展助孕治疗的单位，重点提高。</w:t>
      </w:r>
      <w:r>
        <w:rPr>
          <w:rFonts w:hint="eastAsia" w:ascii="仿宋" w:hAnsi="仿宋" w:eastAsia="仿宋" w:cs="仿宋"/>
          <w:sz w:val="30"/>
          <w:szCs w:val="30"/>
        </w:rPr>
        <w:t>年双向转诊患者5千余名。建立500人的各地医生交流微信群3个，在线解答基层医生疑问。这种患者医生双向流动，基层和中心网络式分级模式在陕西地区生殖医学界获得广泛影响和认可。</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五、客观评价</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西北妇女儿童医院生殖医疗团队是陕西省辅助生殖技术中心、陕西生殖医学分会主委单位、陕西省妇科疾病临床研究中心、陕西省失独家庭再生育中心、三秦学者创新团队、西北首家人类精子库。团队坚持生殖健康理念（单胎足月活产），降低多胎并发症；多种新技术精准治疗，阻断遗传病和出生缺陷，提高出生人口质量；扁平化管理，核心技术精益求精；双向转诊专科医联体建设，强调区域网络同质化诊疗；健康教育人文关怀，体现医者情怀。近五年年门诊量40万人次，2017年1月1日至2022年5月31日，共完成新鲜体外受精取卵周期50457例，冷冻胚胎移植周期34579例，夫精人工授精7533例，供精人工受精7533例。共出生试管婴儿52164名，其中男婴27603名，女婴24561名。推广单胚胎移植技术，目前平均移植胚胎数1.2枚，多胎率7%左右，平均临床妊娠率60%。近五年发表论文206篇（SCI 115篇，影响因子共计495.7分），获得课题基金资助51项，专利3项，获得陕西省科技成果二等奖1项，获得全国妇幼健康科学技术奖一等奖1项。</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自2017年复旦版中国医院专科声誉排行榜加入生殖医学专科排名以来，西北妇女儿童医院已连续数年位列西北地区第一名。</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六、应用情况</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不孕不育技术推广成果：</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至2021年底，9个地市的18个市级医院均开展了不孕不育专科门诊，此外还有15个区县级医院开展了不孕不育门诊。双向转诊系统应用以来，共有5000余名试管患者通过双向转诊系统成功获益。在不孕不育技术推广过程中，帮扶宝鸡市妇幼保健院、宝鸡市中心医院、陕西省中医药大学附属医院、陕西省中医药大学第二附属医院、咸阳市中心医院等学习试管婴儿促排技术，在生殖中心的严格质控下，由联盟单位促排后来生殖中心取卵-移植的试管婴儿成功率与生殖中心内促排的患者的成功率之间没有差异，这提示这种“卫星中心”的诊疗方式可以成为未来发展到方向。</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医务人员和科研人员培训情况：</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建立陕西省出生人口队列和生物样本库。外派团队人员外出复旦大学附属儿科医院和北京妇产医院进行学习交流，邀请国内外知名专家来院讲座、指导。定期在院进行基础科研系列讲座，参与医务人员数百名。每周组织SCI新文献报告，紧跟全球科研步伐。每月召开科研进展报告，各组长汇报科研工作完成及下步计划。带教多名研究生完成课题设计和毕业。</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远程医疗服务、健康扶贫和科普工作开展情况：</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我们通过一系列方法向陕西及周边地区医生推广不孕不育诊疗及辅助生殖相关知识，包括：①于2016年成功举办第十次中国生殖医学年会，会议邀请了国内外著名的专家学者讲课，学员总共有3000人左右参与； ②近3年分别在外院承担的国家级生殖年会（郑州、兰州、沈阳）以及我院承担的在榆林、延安、渭南、咸阳、宝鸡、安康进行的省级医学继续教育学习班（生殖不孕不育规范会治疗研讨会）和陕西省医学会妇产科学分会年会的专题讲座，接受兄弟单位进修60余人。③协助对口支援单位开设不孕症门诊，如咸阳市中心医院不孕不育门诊，宝鸡市妇幼保健院开设不孕不育门诊等；④开设陕西省医学会生殖医学分会网站，网上答疑解惑；⑤微信每天推送科普知识，开设好孕社区专人回答患者的问题；⑥师娟子主编，全科参与编写《辅助生殖技术临床手册IVI中心临床决策及路径》、《试管婴儿500问》、《宝宝来敲门-不孕不育及试管婴儿解疑》等方式来推广不孕不育的诊疗新知识，取得了良好的效果。</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自2018年1月至2021年12月，共举办B超监测排卵培训班11期、男性不育与精液检查及室间质控培训班5期、生殖护理培训班5期。举办生殖联盟科研培训班及胚胎植入前遗传学诊断培训班1期，不孕不育门诊运行管理培训班1期，不孕症新进展培训班1期，切实帮助联盟单位提高生殖医、技、护理专业技术水平。2019年8月西北生殖联盟成立大会上成功举办“卵巢组织冷冻培训班”1期。每年定期举行“女神节”“IVF成功患者经验交流会”“三代试管病友会”三期患友会，与患者面对面交流，患者反响热烈。</w:t>
      </w:r>
    </w:p>
    <w:p>
      <w:pPr>
        <w:pStyle w:val="2"/>
        <w:keepNext w:val="0"/>
        <w:keepLines w:val="0"/>
        <w:pageBreakBefore w:val="0"/>
        <w:widowControl w:val="0"/>
        <w:kinsoku/>
        <w:wordWrap/>
        <w:overflowPunct/>
        <w:topLinePunct w:val="0"/>
        <w:bidi w:val="0"/>
        <w:spacing w:line="560" w:lineRule="exact"/>
        <w:ind w:firstLine="560"/>
        <w:jc w:val="left"/>
        <w:rPr>
          <w:rFonts w:hint="eastAsia" w:ascii="仿宋" w:hAnsi="仿宋" w:eastAsia="仿宋" w:cs="仿宋"/>
          <w:sz w:val="30"/>
          <w:szCs w:val="30"/>
        </w:rPr>
      </w:pPr>
    </w:p>
    <w:p>
      <w:pPr>
        <w:keepNext w:val="0"/>
        <w:keepLines w:val="0"/>
        <w:pageBreakBefore w:val="0"/>
        <w:widowControl w:val="0"/>
        <w:kinsoku/>
        <w:wordWrap/>
        <w:overflowPunct/>
        <w:topLinePunct w:val="0"/>
        <w:bidi w:val="0"/>
        <w:spacing w:before="120" w:beforeLines="50" w:line="560" w:lineRule="exact"/>
        <w:rPr>
          <w:rFonts w:hint="eastAsia" w:ascii="仿宋" w:hAnsi="仿宋" w:eastAsia="仿宋" w:cs="仿宋"/>
          <w:b/>
          <w:sz w:val="30"/>
          <w:szCs w:val="30"/>
        </w:rPr>
      </w:pPr>
      <w:r>
        <w:rPr>
          <w:rFonts w:hint="eastAsia" w:ascii="仿宋" w:hAnsi="仿宋" w:eastAsia="仿宋" w:cs="仿宋"/>
          <w:b/>
          <w:sz w:val="30"/>
          <w:szCs w:val="30"/>
        </w:rPr>
        <w:br w:type="page"/>
      </w:r>
      <w:r>
        <w:rPr>
          <w:rFonts w:hint="eastAsia" w:ascii="黑体" w:hAnsi="黑体" w:eastAsia="黑体" w:cs="黑体"/>
          <w:b w:val="0"/>
          <w:bCs/>
          <w:sz w:val="32"/>
          <w:szCs w:val="32"/>
          <w:lang w:val="zh-CN"/>
        </w:rPr>
        <w:t>七、主要知识产权和标准规范等目录</w:t>
      </w:r>
    </w:p>
    <w:p>
      <w:pPr>
        <w:pStyle w:val="8"/>
        <w:keepNext w:val="0"/>
        <w:keepLines w:val="0"/>
        <w:pageBreakBefore w:val="0"/>
        <w:widowControl w:val="0"/>
        <w:kinsoku/>
        <w:wordWrap/>
        <w:overflowPunct/>
        <w:topLinePunct w:val="0"/>
        <w:bidi w:val="0"/>
        <w:adjustRightInd w:val="0"/>
        <w:snapToGrid w:val="0"/>
        <w:spacing w:line="560" w:lineRule="exact"/>
        <w:ind w:firstLineChars="0"/>
        <w:rPr>
          <w:rFonts w:hint="eastAsia" w:ascii="仿宋" w:hAnsi="仿宋" w:eastAsia="仿宋" w:cs="仿宋"/>
          <w:sz w:val="30"/>
          <w:szCs w:val="30"/>
        </w:rPr>
      </w:pPr>
      <w:r>
        <w:rPr>
          <w:rFonts w:hint="eastAsia" w:ascii="仿宋" w:hAnsi="仿宋" w:eastAsia="仿宋" w:cs="仿宋"/>
          <w:sz w:val="30"/>
          <w:szCs w:val="30"/>
        </w:rPr>
        <w:t>参与制定的全国重要的诊疗指南和技术规范共14项，具体如下：</w:t>
      </w:r>
    </w:p>
    <w:tbl>
      <w:tblPr>
        <w:tblStyle w:val="7"/>
        <w:tblW w:w="7910" w:type="dxa"/>
        <w:tblInd w:w="0" w:type="dxa"/>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99"/>
        <w:gridCol w:w="135"/>
        <w:gridCol w:w="2990"/>
        <w:gridCol w:w="1086"/>
      </w:tblGrid>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834" w:type="dxa"/>
            <w:gridSpan w:val="2"/>
            <w:tcBorders>
              <w:bottom w:val="single" w:color="4BACC6" w:sz="4" w:space="0"/>
            </w:tcBorders>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
                <w:bCs/>
                <w:sz w:val="30"/>
                <w:szCs w:val="30"/>
              </w:rPr>
              <w:t>标准名称</w:t>
            </w:r>
          </w:p>
        </w:tc>
        <w:tc>
          <w:tcPr>
            <w:tcW w:w="2990" w:type="dxa"/>
            <w:tcBorders>
              <w:bottom w:val="single" w:color="4BACC6" w:sz="4" w:space="0"/>
            </w:tcBorders>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
                <w:bCs/>
                <w:sz w:val="30"/>
                <w:szCs w:val="30"/>
              </w:rPr>
              <w:t>类别</w:t>
            </w:r>
          </w:p>
        </w:tc>
        <w:tc>
          <w:tcPr>
            <w:tcW w:w="1086" w:type="dxa"/>
            <w:tcBorders>
              <w:bottom w:val="single" w:color="4BACC6" w:sz="4" w:space="0"/>
            </w:tcBorders>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
                <w:bCs/>
                <w:sz w:val="30"/>
                <w:szCs w:val="30"/>
              </w:rPr>
              <w:t>颁布时间</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jc w:val="left"/>
              <w:rPr>
                <w:rFonts w:hint="eastAsia" w:ascii="仿宋" w:hAnsi="仿宋" w:eastAsia="仿宋" w:cs="仿宋"/>
                <w:b/>
                <w:bCs/>
                <w:sz w:val="30"/>
                <w:szCs w:val="30"/>
              </w:rPr>
            </w:pPr>
            <w:r>
              <w:rPr>
                <w:rFonts w:hint="eastAsia" w:ascii="仿宋" w:hAnsi="仿宋" w:eastAsia="仿宋" w:cs="仿宋"/>
                <w:bCs/>
                <w:sz w:val="30"/>
                <w:szCs w:val="30"/>
              </w:rPr>
              <w:t>多胎妊娠减胎术操作规范（2016）</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2017.3</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2"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jc w:val="left"/>
              <w:rPr>
                <w:rFonts w:hint="eastAsia" w:ascii="仿宋" w:hAnsi="仿宋" w:eastAsia="仿宋" w:cs="仿宋"/>
                <w:b/>
                <w:bCs/>
                <w:sz w:val="30"/>
                <w:szCs w:val="30"/>
              </w:rPr>
            </w:pPr>
            <w:r>
              <w:rPr>
                <w:rFonts w:hint="eastAsia" w:ascii="仿宋" w:hAnsi="仿宋" w:eastAsia="仿宋" w:cs="仿宋"/>
                <w:bCs/>
                <w:sz w:val="30"/>
                <w:szCs w:val="30"/>
              </w:rPr>
              <w:t>促排卵药物使用规范（2016）</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2017.4</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5"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jc w:val="left"/>
              <w:textAlignment w:val="center"/>
              <w:rPr>
                <w:rFonts w:hint="eastAsia" w:ascii="仿宋" w:hAnsi="仿宋" w:eastAsia="仿宋" w:cs="仿宋"/>
                <w:b/>
                <w:bCs/>
                <w:sz w:val="30"/>
                <w:szCs w:val="30"/>
              </w:rPr>
            </w:pPr>
            <w:r>
              <w:rPr>
                <w:rFonts w:hint="eastAsia" w:ascii="仿宋" w:hAnsi="仿宋" w:eastAsia="仿宋" w:cs="仿宋"/>
                <w:bCs/>
                <w:sz w:val="30"/>
                <w:szCs w:val="30"/>
              </w:rPr>
              <w:t>高通量基因测序植入前胚胎遗传学诊断和筛查技术规范（试行）</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2017.5</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jc w:val="left"/>
              <w:rPr>
                <w:rFonts w:hint="eastAsia" w:ascii="仿宋" w:hAnsi="仿宋" w:eastAsia="仿宋" w:cs="仿宋"/>
                <w:b/>
                <w:bCs/>
                <w:sz w:val="30"/>
                <w:szCs w:val="30"/>
              </w:rPr>
            </w:pPr>
            <w:r>
              <w:rPr>
                <w:rFonts w:hint="eastAsia" w:ascii="仿宋" w:hAnsi="仿宋" w:eastAsia="仿宋" w:cs="仿宋"/>
                <w:bCs/>
                <w:sz w:val="30"/>
                <w:szCs w:val="30"/>
              </w:rPr>
              <w:t>CSRM指南共识的制定规范（2016）</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2017.4</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胚胎植入前遗传学诊断与筛查实验室技术指南</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2018.9</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2"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辅助生殖技术临床关键指标质控专家共识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2018.9</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胚胎实验室关键指标质控专家共识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2018.9</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卵子捐赠与供/受卵相关问题的中国专家共识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2018.10</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冷冻胚胎保存时限的中国专家共识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2018.10</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关于胚胎移植数目的中国专家共识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2018.10</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5"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辅助生殖技术中异常子宫内膜诊疗的中国专家共识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2018.11</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输卵管性不孕诊治的中国专家共识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2018.11</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卵胞浆内单精子注射（ICSI）技术规范</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2018.11</w:t>
            </w:r>
          </w:p>
        </w:tc>
      </w:tr>
      <w:tr>
        <w:tblPrEx>
          <w:tblBorders>
            <w:top w:val="single" w:color="4BACC6" w:sz="4" w:space="0"/>
            <w:left w:val="none" w:color="auto" w:sz="0" w:space="0"/>
            <w:bottom w:val="single" w:color="4BACC6"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1" w:hRule="atLeast"/>
        </w:trPr>
        <w:tc>
          <w:tcPr>
            <w:tcW w:w="3699"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b/>
                <w:bCs/>
                <w:sz w:val="30"/>
                <w:szCs w:val="30"/>
              </w:rPr>
            </w:pPr>
            <w:r>
              <w:rPr>
                <w:rFonts w:hint="eastAsia" w:ascii="仿宋" w:hAnsi="仿宋" w:eastAsia="仿宋" w:cs="仿宋"/>
                <w:bCs/>
                <w:sz w:val="30"/>
                <w:szCs w:val="30"/>
              </w:rPr>
              <w:t>不明原因不孕症诊断与治疗中国专家共识</w:t>
            </w:r>
          </w:p>
        </w:tc>
        <w:tc>
          <w:tcPr>
            <w:tcW w:w="3125" w:type="dxa"/>
            <w:gridSpan w:val="2"/>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中华医学会生殖医学分会规范</w:t>
            </w:r>
          </w:p>
        </w:tc>
        <w:tc>
          <w:tcPr>
            <w:tcW w:w="1086" w:type="dxa"/>
            <w:shd w:val="clear" w:color="auto" w:fill="FFFFFF"/>
            <w:vAlign w:val="top"/>
          </w:tcPr>
          <w:p>
            <w:pPr>
              <w:keepNext w:val="0"/>
              <w:keepLines w:val="0"/>
              <w:pageBreakBefore w:val="0"/>
              <w:widowControl w:val="0"/>
              <w:kinsoku/>
              <w:wordWrap/>
              <w:overflowPunct/>
              <w:topLinePunct w:val="0"/>
              <w:bidi w:val="0"/>
              <w:spacing w:line="560" w:lineRule="exact"/>
              <w:rPr>
                <w:rFonts w:hint="eastAsia" w:ascii="仿宋" w:hAnsi="仿宋" w:eastAsia="仿宋" w:cs="仿宋"/>
                <w:sz w:val="30"/>
                <w:szCs w:val="30"/>
              </w:rPr>
            </w:pPr>
            <w:r>
              <w:rPr>
                <w:rFonts w:hint="eastAsia" w:ascii="仿宋" w:hAnsi="仿宋" w:eastAsia="仿宋" w:cs="仿宋"/>
                <w:sz w:val="30"/>
                <w:szCs w:val="30"/>
              </w:rPr>
              <w:t>2019.9</w:t>
            </w:r>
          </w:p>
        </w:tc>
      </w:tr>
    </w:tbl>
    <w:p>
      <w:pPr>
        <w:pStyle w:val="2"/>
        <w:keepNext w:val="0"/>
        <w:keepLines w:val="0"/>
        <w:pageBreakBefore w:val="0"/>
        <w:widowControl w:val="0"/>
        <w:kinsoku/>
        <w:wordWrap/>
        <w:overflowPunct/>
        <w:topLinePunct w:val="0"/>
        <w:bidi w:val="0"/>
        <w:spacing w:line="560" w:lineRule="exact"/>
        <w:ind w:firstLine="0" w:firstLineChars="0"/>
        <w:outlineLvl w:val="1"/>
        <w:rPr>
          <w:rFonts w:hint="eastAsia" w:ascii="仿宋" w:hAnsi="仿宋" w:eastAsia="仿宋" w:cs="仿宋"/>
          <w:color w:val="000000"/>
          <w:sz w:val="30"/>
          <w:szCs w:val="30"/>
        </w:rPr>
      </w:pPr>
    </w:p>
    <w:p>
      <w:pPr>
        <w:pStyle w:val="2"/>
        <w:keepNext w:val="0"/>
        <w:keepLines w:val="0"/>
        <w:pageBreakBefore w:val="0"/>
        <w:widowControl w:val="0"/>
        <w:kinsoku/>
        <w:wordWrap/>
        <w:overflowPunct/>
        <w:topLinePunct w:val="0"/>
        <w:bidi w:val="0"/>
        <w:spacing w:line="560" w:lineRule="exact"/>
        <w:ind w:firstLine="0" w:firstLineChars="0"/>
        <w:outlineLvl w:val="1"/>
        <w:rPr>
          <w:rFonts w:hint="eastAsia" w:ascii="黑体" w:hAnsi="黑体" w:eastAsia="黑体" w:cs="黑体"/>
          <w:b w:val="0"/>
          <w:bCs/>
          <w:kern w:val="2"/>
          <w:sz w:val="32"/>
          <w:szCs w:val="32"/>
          <w:lang w:val="zh-CN" w:eastAsia="zh-CN" w:bidi="ar-SA"/>
        </w:rPr>
      </w:pPr>
      <w:r>
        <w:rPr>
          <w:rFonts w:hint="eastAsia" w:ascii="黑体" w:hAnsi="黑体" w:eastAsia="黑体" w:cs="黑体"/>
          <w:b w:val="0"/>
          <w:bCs/>
          <w:kern w:val="2"/>
          <w:sz w:val="32"/>
          <w:szCs w:val="32"/>
          <w:lang w:val="zh-CN" w:eastAsia="zh-CN" w:bidi="ar-SA"/>
        </w:rPr>
        <w:t>八、主要完成人情况</w:t>
      </w:r>
    </w:p>
    <w:tbl>
      <w:tblPr>
        <w:tblStyle w:val="7"/>
        <w:tblW w:w="94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692"/>
        <w:gridCol w:w="867"/>
        <w:gridCol w:w="992"/>
        <w:gridCol w:w="1276"/>
        <w:gridCol w:w="1276"/>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姓名</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排名</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行政</w:t>
            </w:r>
          </w:p>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职务</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技术</w:t>
            </w:r>
          </w:p>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职称</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工作</w:t>
            </w:r>
          </w:p>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单位</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完成</w:t>
            </w:r>
          </w:p>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单位</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师娟子</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1</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主任</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主任医师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项目总负责、学科方向引领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王磊</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2</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无</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教授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复旦大学</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复旦大学</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卵子及胚胎发育基因的研究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top"/>
          </w:tcPr>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p>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r>
              <w:rPr>
                <w:rFonts w:hint="eastAsia" w:ascii="仿宋" w:hAnsi="仿宋" w:eastAsia="仿宋" w:cs="仿宋"/>
                <w:sz w:val="30"/>
                <w:szCs w:val="30"/>
              </w:rPr>
              <w:t>施文浩</w:t>
            </w:r>
          </w:p>
        </w:tc>
        <w:tc>
          <w:tcPr>
            <w:tcW w:w="692" w:type="dxa"/>
            <w:vAlign w:val="top"/>
          </w:tcPr>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p>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r>
              <w:rPr>
                <w:rFonts w:hint="eastAsia" w:ascii="仿宋" w:hAnsi="仿宋" w:eastAsia="仿宋" w:cs="仿宋"/>
                <w:sz w:val="30"/>
                <w:szCs w:val="30"/>
              </w:rPr>
              <w:t>3</w:t>
            </w:r>
          </w:p>
        </w:tc>
        <w:tc>
          <w:tcPr>
            <w:tcW w:w="867" w:type="dxa"/>
            <w:vAlign w:val="top"/>
          </w:tcPr>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p>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r>
              <w:rPr>
                <w:rFonts w:hint="eastAsia" w:ascii="仿宋" w:hAnsi="仿宋" w:eastAsia="仿宋" w:cs="仿宋"/>
                <w:sz w:val="30"/>
                <w:szCs w:val="30"/>
              </w:rPr>
              <w:t>副主任</w:t>
            </w:r>
          </w:p>
        </w:tc>
        <w:tc>
          <w:tcPr>
            <w:tcW w:w="992" w:type="dxa"/>
            <w:vAlign w:val="top"/>
          </w:tcPr>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p>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r>
              <w:rPr>
                <w:rFonts w:hint="eastAsia" w:ascii="仿宋" w:hAnsi="仿宋" w:eastAsia="仿宋" w:cs="仿宋"/>
                <w:sz w:val="30"/>
                <w:szCs w:val="30"/>
              </w:rPr>
              <w:t>副主任医师</w:t>
            </w:r>
          </w:p>
        </w:tc>
        <w:tc>
          <w:tcPr>
            <w:tcW w:w="1276" w:type="dxa"/>
            <w:vAlign w:val="top"/>
          </w:tcPr>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r>
              <w:rPr>
                <w:rFonts w:hint="eastAsia" w:ascii="仿宋" w:hAnsi="仿宋" w:eastAsia="仿宋" w:cs="仿宋"/>
                <w:sz w:val="30"/>
                <w:szCs w:val="30"/>
              </w:rPr>
              <w:t>西北妇女儿童医院</w:t>
            </w:r>
          </w:p>
        </w:tc>
        <w:tc>
          <w:tcPr>
            <w:tcW w:w="1276" w:type="dxa"/>
            <w:vAlign w:val="top"/>
          </w:tcPr>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r>
              <w:rPr>
                <w:rFonts w:hint="eastAsia" w:ascii="仿宋" w:hAnsi="仿宋" w:eastAsia="仿宋" w:cs="仿宋"/>
                <w:sz w:val="30"/>
                <w:szCs w:val="30"/>
              </w:rPr>
              <w:t>西北妇女儿童医院</w:t>
            </w:r>
          </w:p>
        </w:tc>
        <w:tc>
          <w:tcPr>
            <w:tcW w:w="3463" w:type="dxa"/>
            <w:vAlign w:val="top"/>
          </w:tcPr>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p>
          <w:p>
            <w:pPr>
              <w:keepNext w:val="0"/>
              <w:keepLines w:val="0"/>
              <w:pageBreakBefore w:val="0"/>
              <w:widowControl w:val="0"/>
              <w:kinsoku/>
              <w:wordWrap/>
              <w:overflowPunct/>
              <w:topLinePunct w:val="0"/>
              <w:bidi w:val="0"/>
              <w:spacing w:line="560" w:lineRule="exact"/>
              <w:jc w:val="center"/>
              <w:rPr>
                <w:rFonts w:hint="eastAsia" w:ascii="仿宋" w:hAnsi="仿宋" w:eastAsia="仿宋" w:cs="仿宋"/>
                <w:sz w:val="30"/>
                <w:szCs w:val="30"/>
              </w:rPr>
            </w:pPr>
            <w:r>
              <w:rPr>
                <w:rFonts w:hint="eastAsia" w:ascii="仿宋" w:hAnsi="仿宋" w:eastAsia="仿宋" w:cs="仿宋"/>
                <w:sz w:val="30"/>
                <w:szCs w:val="30"/>
                <w:lang w:val="en-US" w:eastAsia="zh-Hans"/>
              </w:rPr>
              <w:t>申报</w:t>
            </w:r>
            <w:r>
              <w:rPr>
                <w:rFonts w:hint="eastAsia" w:ascii="仿宋" w:hAnsi="仿宋" w:eastAsia="仿宋" w:cs="仿宋"/>
                <w:sz w:val="30"/>
                <w:szCs w:val="30"/>
              </w:rPr>
              <w:t>科研基金、文章、专利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刘茜桐</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4</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无</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主治医师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发表</w:t>
            </w:r>
            <w:r>
              <w:rPr>
                <w:rFonts w:hint="eastAsia" w:ascii="仿宋" w:hAnsi="仿宋" w:eastAsia="仿宋" w:cs="仿宋"/>
                <w:color w:val="000000"/>
                <w:sz w:val="30"/>
                <w:szCs w:val="30"/>
                <w:lang w:val="en-US" w:eastAsia="zh-Hans"/>
              </w:rPr>
              <w:t>SCI</w:t>
            </w:r>
            <w:r>
              <w:rPr>
                <w:rFonts w:hint="eastAsia" w:ascii="仿宋" w:hAnsi="仿宋" w:eastAsia="仿宋" w:cs="仿宋"/>
                <w:color w:val="000000"/>
                <w:sz w:val="30"/>
                <w:szCs w:val="30"/>
              </w:rPr>
              <w:t>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蔡贺</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5</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无</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主治医师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发表</w:t>
            </w:r>
            <w:r>
              <w:rPr>
                <w:rFonts w:hint="eastAsia" w:ascii="仿宋" w:hAnsi="仿宋" w:eastAsia="仿宋" w:cs="仿宋"/>
                <w:color w:val="000000"/>
                <w:sz w:val="30"/>
                <w:szCs w:val="30"/>
                <w:lang w:val="en-US" w:eastAsia="zh-Hans"/>
              </w:rPr>
              <w:t>SCI</w:t>
            </w:r>
            <w:r>
              <w:rPr>
                <w:rFonts w:hint="eastAsia" w:ascii="仿宋" w:hAnsi="仿宋" w:eastAsia="仿宋" w:cs="仿宋"/>
                <w:color w:val="000000"/>
                <w:sz w:val="30"/>
                <w:szCs w:val="30"/>
              </w:rPr>
              <w:t>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柏海燕</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6</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精准化技术、发表文章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周寒鹰</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7</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主任医师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临床技术实施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屈鹏飞</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8</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无</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统计分析、发表文章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张洲</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9</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主任医师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临床技术实施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周梁</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10</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无</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精准化技术、发表文章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85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薛侠</w:t>
            </w:r>
          </w:p>
        </w:tc>
        <w:tc>
          <w:tcPr>
            <w:tcW w:w="6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11</w:t>
            </w:r>
          </w:p>
        </w:tc>
        <w:tc>
          <w:tcPr>
            <w:tcW w:w="867"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w:t>
            </w:r>
          </w:p>
        </w:tc>
        <w:tc>
          <w:tcPr>
            <w:tcW w:w="992"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副主任医师</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1276"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w:t>
            </w:r>
          </w:p>
        </w:tc>
        <w:tc>
          <w:tcPr>
            <w:tcW w:w="3463" w:type="dxa"/>
            <w:vAlign w:val="center"/>
          </w:tcPr>
          <w:p>
            <w:pPr>
              <w:keepNext w:val="0"/>
              <w:keepLines w:val="0"/>
              <w:pageBreakBefore w:val="0"/>
              <w:widowControl w:val="0"/>
              <w:kinsoku/>
              <w:wordWrap/>
              <w:overflowPunct/>
              <w:topLinePunct w:val="0"/>
              <w:bidi w:val="0"/>
              <w:adjustRightInd w:val="0"/>
              <w:snapToGrid w:val="0"/>
              <w:spacing w:line="560" w:lineRule="exact"/>
              <w:jc w:val="center"/>
              <w:rPr>
                <w:rFonts w:hint="eastAsia" w:ascii="仿宋" w:hAnsi="仿宋" w:eastAsia="仿宋" w:cs="仿宋"/>
                <w:color w:val="000000"/>
                <w:sz w:val="30"/>
                <w:szCs w:val="30"/>
              </w:rPr>
            </w:pPr>
            <w:r>
              <w:rPr>
                <w:rFonts w:hint="eastAsia" w:ascii="仿宋" w:hAnsi="仿宋" w:eastAsia="仿宋" w:cs="仿宋"/>
                <w:color w:val="000000"/>
                <w:sz w:val="30"/>
                <w:szCs w:val="30"/>
              </w:rPr>
              <w:t>精准化技术、发表文章</w:t>
            </w:r>
          </w:p>
        </w:tc>
      </w:tr>
    </w:tbl>
    <w:p>
      <w:pPr>
        <w:pStyle w:val="2"/>
        <w:keepNext w:val="0"/>
        <w:keepLines w:val="0"/>
        <w:pageBreakBefore w:val="0"/>
        <w:widowControl w:val="0"/>
        <w:kinsoku/>
        <w:wordWrap/>
        <w:overflowPunct/>
        <w:topLinePunct w:val="0"/>
        <w:bidi w:val="0"/>
        <w:spacing w:line="560" w:lineRule="exact"/>
        <w:ind w:firstLine="0" w:firstLineChars="0"/>
        <w:outlineLvl w:val="1"/>
        <w:rPr>
          <w:rFonts w:hint="eastAsia" w:ascii="黑体" w:hAnsi="黑体" w:eastAsia="黑体" w:cs="黑体"/>
          <w:b w:val="0"/>
          <w:bCs/>
          <w:sz w:val="32"/>
          <w:szCs w:val="32"/>
          <w:lang w:val="zh-CN"/>
        </w:rPr>
      </w:pPr>
      <w:r>
        <w:rPr>
          <w:rFonts w:hint="eastAsia" w:ascii="黑体" w:hAnsi="黑体" w:eastAsia="黑体" w:cs="黑体"/>
          <w:b w:val="0"/>
          <w:bCs/>
          <w:sz w:val="32"/>
          <w:szCs w:val="32"/>
          <w:lang w:val="zh-CN"/>
        </w:rPr>
        <w:t>九、主要完成单位情况</w:t>
      </w:r>
    </w:p>
    <w:p>
      <w:pPr>
        <w:pStyle w:val="2"/>
        <w:keepNext w:val="0"/>
        <w:keepLines w:val="0"/>
        <w:pageBreakBefore w:val="0"/>
        <w:widowControl w:val="0"/>
        <w:kinsoku/>
        <w:wordWrap/>
        <w:overflowPunct/>
        <w:topLinePunct w:val="0"/>
        <w:bidi w:val="0"/>
        <w:spacing w:line="560" w:lineRule="exact"/>
        <w:jc w:val="left"/>
        <w:rPr>
          <w:rFonts w:hint="eastAsia" w:ascii="仿宋" w:hAnsi="仿宋" w:eastAsia="仿宋" w:cs="仿宋"/>
          <w:color w:val="000000"/>
          <w:sz w:val="30"/>
          <w:szCs w:val="30"/>
        </w:rPr>
      </w:pPr>
      <w:r>
        <w:rPr>
          <w:rFonts w:hint="eastAsia" w:ascii="仿宋" w:hAnsi="仿宋" w:eastAsia="仿宋" w:cs="仿宋"/>
          <w:color w:val="000000"/>
          <w:sz w:val="30"/>
          <w:szCs w:val="30"/>
        </w:rPr>
        <w:t>西北妇女儿童医院生殖技术中心暨陕西省辅助生殖技术中心成立于2001年，是陕西生殖医学分会主委单位,陕西省妇科疾病临床研究中心，陕西省失独家庭再生育中心，获得辅助生殖技术全部种类的国家准入资质。陕西省人类精子库成立于2011年，是陕西省唯一一家人类精子库。生殖中心及精子库均于2015年获得ISO9001:2008国际质量体系认证，并于2018年8月通过ISO9001:2015改版升级认证。中心工作人员共143名，其中高级职称15人，博士 7名、硕士 34名。先后有28名技术人员在卫生部辅助生殖技术培训基地接受培训。学科带头人师娟子，一级主任医师(二级教授)，博士，任生殖中心主任，陕西省妇科疾病临床研究中心主任，转化医学中心主任，是国务院特殊津贴专家，陕西省医药卫生领域顶尖人才，三秦学者，中华医学会生殖医学分会常委，陕西省医学会生殖医学分会主任委员。</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both"/>
        <w:textAlignment w:val="auto"/>
        <w:outlineLvl w:val="9"/>
        <w:rPr>
          <w:rFonts w:hint="eastAsia" w:ascii="黑体" w:hAnsi="黑体" w:eastAsia="黑体" w:cs="黑体"/>
          <w:b w:val="0"/>
          <w:bCs/>
          <w:sz w:val="32"/>
          <w:szCs w:val="32"/>
          <w:lang w:val="zh-CN"/>
        </w:rPr>
      </w:pPr>
      <w:r>
        <w:rPr>
          <w:rFonts w:hint="eastAsia" w:ascii="黑体" w:hAnsi="黑体" w:eastAsia="黑体" w:cs="黑体"/>
          <w:b w:val="0"/>
          <w:bCs/>
          <w:sz w:val="32"/>
          <w:szCs w:val="32"/>
          <w:lang w:val="zh-CN" w:eastAsia="zh-CN"/>
        </w:rPr>
        <w:t>十、</w:t>
      </w:r>
      <w:r>
        <w:rPr>
          <w:rFonts w:hint="eastAsia" w:ascii="黑体" w:hAnsi="黑体" w:eastAsia="黑体" w:cs="黑体"/>
          <w:b w:val="0"/>
          <w:bCs/>
          <w:sz w:val="32"/>
          <w:szCs w:val="32"/>
          <w:lang w:val="zh-CN"/>
        </w:rPr>
        <w:t>完成人合作关系说明</w:t>
      </w:r>
    </w:p>
    <w:p>
      <w:pPr>
        <w:pStyle w:val="2"/>
        <w:keepNext w:val="0"/>
        <w:keepLines w:val="0"/>
        <w:pageBreakBefore w:val="0"/>
        <w:widowControl w:val="0"/>
        <w:kinsoku/>
        <w:wordWrap/>
        <w:overflowPunct/>
        <w:topLinePunct w:val="0"/>
        <w:bidi w:val="0"/>
        <w:spacing w:line="560" w:lineRule="exact"/>
        <w:jc w:val="left"/>
        <w:rPr>
          <w:rFonts w:hint="eastAsia" w:ascii="仿宋" w:hAnsi="仿宋" w:eastAsia="仿宋" w:cs="仿宋"/>
          <w:color w:val="000000"/>
          <w:sz w:val="30"/>
          <w:szCs w:val="30"/>
        </w:rPr>
      </w:pPr>
      <w:r>
        <w:rPr>
          <w:rFonts w:hint="eastAsia" w:ascii="仿宋" w:hAnsi="仿宋" w:eastAsia="仿宋" w:cs="仿宋"/>
          <w:color w:val="000000"/>
          <w:sz w:val="30"/>
          <w:szCs w:val="30"/>
        </w:rPr>
        <w:t>项目团队成员之一王磊教授为复旦大学生物医学研究院教授，负责的技术创新为卵子和胚胎发育关键基因，是我院的陕西省“千人计划”短期项目，作为第二完成人共同参与本项目的申报。项目团队其他成员均为西北妇女儿童医院在职员工。</w:t>
      </w:r>
    </w:p>
    <w:p>
      <w:pPr>
        <w:pStyle w:val="2"/>
        <w:keepNext w:val="0"/>
        <w:keepLines w:val="0"/>
        <w:pageBreakBefore w:val="0"/>
        <w:widowControl w:val="0"/>
        <w:kinsoku/>
        <w:wordWrap/>
        <w:overflowPunct/>
        <w:topLinePunct w:val="0"/>
        <w:bidi w:val="0"/>
        <w:spacing w:line="560" w:lineRule="exact"/>
        <w:ind w:firstLine="0" w:firstLineChars="0"/>
        <w:jc w:val="center"/>
        <w:outlineLvl w:val="1"/>
        <w:rPr>
          <w:rFonts w:hint="eastAsia" w:ascii="仿宋" w:hAnsi="仿宋" w:eastAsia="仿宋" w:cs="仿宋"/>
          <w:color w:val="000000"/>
          <w:sz w:val="30"/>
          <w:szCs w:val="30"/>
        </w:rPr>
      </w:pPr>
    </w:p>
    <w:p/>
    <w:sectPr>
      <w:headerReference r:id="rId3" w:type="default"/>
      <w:footerReference r:id="rId4" w:type="even"/>
      <w:pgSz w:w="11906" w:h="16838"/>
      <w:pgMar w:top="1588" w:right="1814" w:bottom="1588" w:left="1814"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B0604020202020204"/>
    <w:charset w:val="86"/>
    <w:family w:val="script"/>
    <w:pitch w:val="default"/>
    <w:sig w:usb0="00000000" w:usb1="00000000" w:usb2="00000010" w:usb3="00000000" w:csb0="00040000" w:csb1="00000000"/>
  </w:font>
  <w:font w:name="等线">
    <w:altName w:val="微软雅黑"/>
    <w:panose1 w:val="02010600030101010101"/>
    <w:charset w:val="00"/>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B54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pPr>
      <w:spacing w:line="360" w:lineRule="auto"/>
      <w:ind w:firstLine="480" w:firstLineChars="200"/>
    </w:pPr>
    <w:rPr>
      <w:rFonts w:ascii="仿宋_GB2312"/>
      <w:sz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bottom w:val="single" w:color="auto" w:sz="6" w:space="1"/>
      </w:pBdr>
      <w:tabs>
        <w:tab w:val="center" w:pos="4153"/>
        <w:tab w:val="right" w:pos="8306"/>
      </w:tabs>
      <w:snapToGrid w:val="0"/>
      <w:jc w:val="center"/>
    </w:pPr>
    <w:rPr>
      <w:sz w:val="18"/>
    </w:rPr>
  </w:style>
  <w:style w:type="character" w:styleId="6">
    <w:name w:val="page number"/>
    <w:basedOn w:val="5"/>
    <w:uiPriority w:val="0"/>
  </w:style>
  <w:style w:type="paragraph" w:customStyle="1" w:styleId="8">
    <w:name w:val="_Style 4"/>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LiJian</dc:creator>
  <cp:lastModifiedBy>ml</cp:lastModifiedBy>
  <dcterms:modified xsi:type="dcterms:W3CDTF">2022-07-01T01:20:26Z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