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ind w:firstLine="640" w:firstLineChars="200"/>
        <w:rPr>
          <w:rFonts w:ascii="仿宋_GB2312" w:eastAsia="仿宋_GB2312"/>
          <w:sz w:val="32"/>
        </w:rPr>
      </w:pPr>
      <w:r>
        <w:rPr>
          <w:rFonts w:hint="eastAsia" w:ascii="仿宋" w:hAnsi="仿宋" w:eastAsia="仿宋"/>
          <w:sz w:val="32"/>
          <w:szCs w:val="32"/>
        </w:rPr>
        <w:t>网络信息对精神障碍人群就医行为预测的模型建立与早期识别策略</w:t>
      </w:r>
    </w:p>
    <w:p>
      <w:pPr>
        <w:rPr>
          <w:rFonts w:ascii="仿宋_GB2312" w:eastAsia="仿宋_GB2312"/>
          <w:sz w:val="32"/>
        </w:rPr>
      </w:pPr>
      <w:r>
        <w:rPr>
          <w:rFonts w:hint="eastAsia" w:ascii="仿宋_GB2312" w:eastAsia="仿宋_GB2312"/>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1134"/>
        <w:gridCol w:w="1134"/>
        <w:gridCol w:w="1275"/>
        <w:gridCol w:w="1442"/>
        <w:gridCol w:w="1218"/>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01" w:type="dxa"/>
          </w:tcPr>
          <w:p>
            <w:pPr>
              <w:jc w:val="center"/>
              <w:rPr>
                <w:rFonts w:ascii="仿宋_GB2312" w:eastAsia="仿宋_GB2312"/>
                <w:szCs w:val="21"/>
              </w:rPr>
            </w:pPr>
            <w:r>
              <w:rPr>
                <w:rFonts w:hint="eastAsia" w:ascii="仿宋_GB2312" w:eastAsia="仿宋_GB2312"/>
                <w:szCs w:val="21"/>
              </w:rPr>
              <w:t>姓名</w:t>
            </w:r>
          </w:p>
        </w:tc>
        <w:tc>
          <w:tcPr>
            <w:tcW w:w="1134"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275" w:type="dxa"/>
          </w:tcPr>
          <w:p>
            <w:pPr>
              <w:jc w:val="center"/>
              <w:rPr>
                <w:rFonts w:ascii="仿宋_GB2312" w:eastAsia="仿宋_GB2312"/>
                <w:szCs w:val="21"/>
              </w:rPr>
            </w:pPr>
            <w:r>
              <w:rPr>
                <w:rFonts w:hint="eastAsia" w:ascii="仿宋_GB2312" w:eastAsia="仿宋_GB2312"/>
                <w:szCs w:val="21"/>
              </w:rPr>
              <w:t>技术职称</w:t>
            </w:r>
          </w:p>
        </w:tc>
        <w:tc>
          <w:tcPr>
            <w:tcW w:w="1442" w:type="dxa"/>
          </w:tcPr>
          <w:p>
            <w:pPr>
              <w:jc w:val="center"/>
              <w:rPr>
                <w:rFonts w:ascii="仿宋_GB2312" w:eastAsia="仿宋_GB2312"/>
                <w:szCs w:val="21"/>
              </w:rPr>
            </w:pPr>
            <w:r>
              <w:rPr>
                <w:rFonts w:hint="eastAsia" w:ascii="仿宋_GB2312" w:eastAsia="仿宋_GB2312"/>
                <w:szCs w:val="21"/>
              </w:rPr>
              <w:t>工作单位</w:t>
            </w:r>
          </w:p>
        </w:tc>
        <w:tc>
          <w:tcPr>
            <w:tcW w:w="1218" w:type="dxa"/>
          </w:tcPr>
          <w:p>
            <w:pPr>
              <w:jc w:val="center"/>
              <w:rPr>
                <w:rFonts w:ascii="仿宋_GB2312" w:eastAsia="仿宋_GB2312"/>
                <w:szCs w:val="21"/>
              </w:rPr>
            </w:pPr>
            <w:r>
              <w:rPr>
                <w:rFonts w:hint="eastAsia" w:ascii="仿宋_GB2312" w:eastAsia="仿宋_GB2312"/>
                <w:szCs w:val="21"/>
              </w:rPr>
              <w:t>完成单位</w:t>
            </w:r>
          </w:p>
        </w:tc>
        <w:tc>
          <w:tcPr>
            <w:tcW w:w="1735"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sz w:val="24"/>
              </w:rPr>
            </w:pPr>
            <w:r>
              <w:rPr>
                <w:rFonts w:hint="eastAsia" w:ascii="仿宋" w:hAnsi="仿宋" w:eastAsia="仿宋" w:cs="Times New Roman"/>
                <w:szCs w:val="16"/>
              </w:rPr>
              <w:t>张瑶</w:t>
            </w:r>
          </w:p>
        </w:tc>
        <w:tc>
          <w:tcPr>
            <w:tcW w:w="1134" w:type="dxa"/>
            <w:vAlign w:val="center"/>
          </w:tcPr>
          <w:p>
            <w:pPr>
              <w:jc w:val="center"/>
              <w:rPr>
                <w:rFonts w:ascii="仿宋" w:hAnsi="仿宋" w:eastAsia="仿宋"/>
                <w:sz w:val="24"/>
              </w:rPr>
            </w:pPr>
            <w:r>
              <w:rPr>
                <w:rFonts w:hint="eastAsia" w:ascii="仿宋" w:hAnsi="仿宋" w:eastAsia="仿宋" w:cs="Times New Roman"/>
                <w:szCs w:val="16"/>
              </w:rPr>
              <w:t>1</w:t>
            </w:r>
          </w:p>
        </w:tc>
        <w:tc>
          <w:tcPr>
            <w:tcW w:w="1134" w:type="dxa"/>
            <w:vAlign w:val="center"/>
          </w:tcPr>
          <w:p>
            <w:pPr>
              <w:jc w:val="center"/>
              <w:rPr>
                <w:rFonts w:ascii="仿宋" w:hAnsi="仿宋" w:eastAsia="仿宋"/>
                <w:sz w:val="24"/>
              </w:rPr>
            </w:pPr>
            <w:r>
              <w:rPr>
                <w:rFonts w:hint="eastAsia" w:ascii="仿宋" w:hAnsi="仿宋" w:eastAsia="仿宋" w:cs="Times New Roman"/>
                <w:szCs w:val="16"/>
              </w:rPr>
              <w:t>副主任</w:t>
            </w:r>
          </w:p>
        </w:tc>
        <w:tc>
          <w:tcPr>
            <w:tcW w:w="1275" w:type="dxa"/>
            <w:vAlign w:val="center"/>
          </w:tcPr>
          <w:p>
            <w:pPr>
              <w:jc w:val="center"/>
              <w:rPr>
                <w:rFonts w:ascii="仿宋" w:hAnsi="仿宋" w:eastAsia="仿宋"/>
                <w:sz w:val="24"/>
              </w:rPr>
            </w:pPr>
            <w:r>
              <w:rPr>
                <w:rFonts w:hint="eastAsia" w:ascii="仿宋" w:hAnsi="仿宋" w:eastAsia="仿宋" w:cs="Times New Roman"/>
                <w:szCs w:val="16"/>
              </w:rPr>
              <w:t>副主任护师</w:t>
            </w:r>
          </w:p>
        </w:tc>
        <w:tc>
          <w:tcPr>
            <w:tcW w:w="1442" w:type="dxa"/>
            <w:vAlign w:val="center"/>
          </w:tcPr>
          <w:p>
            <w:pPr>
              <w:jc w:val="center"/>
              <w:rPr>
                <w:rFonts w:ascii="仿宋" w:hAnsi="仿宋" w:eastAsia="仿宋"/>
                <w:sz w:val="24"/>
              </w:rPr>
            </w:pPr>
            <w:r>
              <w:rPr>
                <w:rFonts w:hint="eastAsia" w:ascii="仿宋" w:hAnsi="仿宋" w:eastAsia="仿宋" w:cs="Times New Roman"/>
                <w:szCs w:val="16"/>
              </w:rPr>
              <w:t>第一附属医院军人医疗中心</w:t>
            </w:r>
          </w:p>
        </w:tc>
        <w:tc>
          <w:tcPr>
            <w:tcW w:w="1218" w:type="dxa"/>
            <w:vAlign w:val="center"/>
          </w:tcPr>
          <w:p>
            <w:pPr>
              <w:jc w:val="center"/>
              <w:rPr>
                <w:rFonts w:ascii="仿宋" w:hAnsi="仿宋" w:eastAsia="仿宋"/>
                <w:sz w:val="24"/>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sz w:val="24"/>
              </w:rPr>
            </w:pPr>
            <w:r>
              <w:rPr>
                <w:rFonts w:hint="eastAsia" w:ascii="仿宋" w:hAnsi="仿宋" w:eastAsia="仿宋" w:cs="Times New Roman"/>
                <w:szCs w:val="16"/>
              </w:rPr>
              <w:t>完成了对综合医院精神科就诊人群语言分析与提取，回答了特定网络信息与精神障碍症状人群就医行为之间存在特定关系的问题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sz w:val="24"/>
              </w:rPr>
            </w:pPr>
            <w:r>
              <w:rPr>
                <w:rFonts w:hint="eastAsia" w:ascii="仿宋" w:hAnsi="仿宋" w:eastAsia="仿宋" w:cs="Times New Roman"/>
                <w:szCs w:val="16"/>
              </w:rPr>
              <w:t>黄鹏</w:t>
            </w:r>
          </w:p>
        </w:tc>
        <w:tc>
          <w:tcPr>
            <w:tcW w:w="1134" w:type="dxa"/>
            <w:vAlign w:val="center"/>
          </w:tcPr>
          <w:p>
            <w:pPr>
              <w:jc w:val="center"/>
              <w:rPr>
                <w:rFonts w:ascii="仿宋" w:hAnsi="仿宋" w:eastAsia="仿宋"/>
                <w:sz w:val="24"/>
              </w:rPr>
            </w:pPr>
            <w:r>
              <w:rPr>
                <w:rFonts w:hint="eastAsia" w:ascii="仿宋" w:hAnsi="仿宋" w:eastAsia="仿宋" w:cs="Times New Roman"/>
                <w:szCs w:val="16"/>
              </w:rPr>
              <w:t>2</w:t>
            </w:r>
          </w:p>
        </w:tc>
        <w:tc>
          <w:tcPr>
            <w:tcW w:w="1134" w:type="dxa"/>
            <w:vAlign w:val="center"/>
          </w:tcPr>
          <w:p>
            <w:pPr>
              <w:jc w:val="center"/>
              <w:rPr>
                <w:rFonts w:ascii="仿宋" w:hAnsi="仿宋" w:eastAsia="仿宋"/>
                <w:sz w:val="24"/>
              </w:rPr>
            </w:pPr>
            <w:r>
              <w:rPr>
                <w:rFonts w:hint="eastAsia" w:ascii="仿宋" w:hAnsi="仿宋" w:eastAsia="仿宋" w:cs="Times New Roman"/>
                <w:szCs w:val="16"/>
              </w:rPr>
              <w:t>副主任</w:t>
            </w:r>
          </w:p>
        </w:tc>
        <w:tc>
          <w:tcPr>
            <w:tcW w:w="1275" w:type="dxa"/>
            <w:vAlign w:val="center"/>
          </w:tcPr>
          <w:p>
            <w:pPr>
              <w:jc w:val="center"/>
              <w:rPr>
                <w:rFonts w:ascii="仿宋" w:hAnsi="仿宋" w:eastAsia="仿宋"/>
                <w:sz w:val="24"/>
              </w:rPr>
            </w:pPr>
            <w:r>
              <w:rPr>
                <w:rFonts w:hint="eastAsia" w:ascii="仿宋" w:hAnsi="仿宋" w:eastAsia="仿宋" w:cs="Times New Roman"/>
                <w:szCs w:val="16"/>
              </w:rPr>
              <w:t>副教授</w:t>
            </w:r>
          </w:p>
        </w:tc>
        <w:tc>
          <w:tcPr>
            <w:tcW w:w="1442" w:type="dxa"/>
            <w:vAlign w:val="center"/>
          </w:tcPr>
          <w:p>
            <w:pPr>
              <w:jc w:val="center"/>
              <w:rPr>
                <w:rFonts w:ascii="仿宋" w:hAnsi="仿宋" w:eastAsia="仿宋"/>
                <w:sz w:val="24"/>
              </w:rPr>
            </w:pPr>
            <w:r>
              <w:rPr>
                <w:rFonts w:hint="eastAsia" w:ascii="仿宋" w:hAnsi="仿宋" w:eastAsia="仿宋" w:cs="Times New Roman"/>
                <w:szCs w:val="16"/>
              </w:rPr>
              <w:t>军事医学心理学系</w:t>
            </w:r>
          </w:p>
        </w:tc>
        <w:tc>
          <w:tcPr>
            <w:tcW w:w="1218" w:type="dxa"/>
            <w:vAlign w:val="center"/>
          </w:tcPr>
          <w:p>
            <w:pPr>
              <w:jc w:val="center"/>
              <w:rPr>
                <w:rFonts w:ascii="仿宋" w:hAnsi="仿宋" w:eastAsia="仿宋"/>
                <w:sz w:val="24"/>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sz w:val="24"/>
              </w:rPr>
            </w:pPr>
            <w:r>
              <w:rPr>
                <w:rFonts w:hint="eastAsia" w:ascii="仿宋" w:hAnsi="仿宋" w:eastAsia="仿宋" w:cs="Times New Roman"/>
                <w:szCs w:val="16"/>
              </w:rPr>
              <w:t>对网络行为积极引导、对网络关键词语实时监测和预警，有效降低信息损伤的危害性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cs="Times New Roman"/>
                <w:szCs w:val="16"/>
              </w:rPr>
            </w:pPr>
            <w:r>
              <w:rPr>
                <w:rFonts w:hint="eastAsia" w:ascii="仿宋" w:hAnsi="仿宋" w:eastAsia="仿宋" w:cs="Times New Roman"/>
                <w:szCs w:val="16"/>
              </w:rPr>
              <w:t>刘健</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3</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无</w:t>
            </w:r>
          </w:p>
        </w:tc>
        <w:tc>
          <w:tcPr>
            <w:tcW w:w="1275" w:type="dxa"/>
            <w:vAlign w:val="center"/>
          </w:tcPr>
          <w:p>
            <w:pPr>
              <w:jc w:val="center"/>
              <w:rPr>
                <w:rFonts w:ascii="仿宋" w:hAnsi="仿宋" w:eastAsia="仿宋" w:cs="Times New Roman"/>
                <w:szCs w:val="16"/>
              </w:rPr>
            </w:pPr>
            <w:r>
              <w:rPr>
                <w:rFonts w:hint="eastAsia" w:ascii="仿宋" w:hAnsi="仿宋" w:eastAsia="仿宋" w:cs="Times New Roman"/>
                <w:szCs w:val="16"/>
              </w:rPr>
              <w:t>副教授</w:t>
            </w:r>
          </w:p>
        </w:tc>
        <w:tc>
          <w:tcPr>
            <w:tcW w:w="1442" w:type="dxa"/>
            <w:vAlign w:val="center"/>
          </w:tcPr>
          <w:p>
            <w:pPr>
              <w:jc w:val="center"/>
              <w:rPr>
                <w:rFonts w:ascii="仿宋" w:hAnsi="仿宋" w:eastAsia="仿宋" w:cs="Times New Roman"/>
                <w:szCs w:val="16"/>
              </w:rPr>
            </w:pPr>
            <w:r>
              <w:rPr>
                <w:rFonts w:hint="eastAsia" w:ascii="仿宋" w:hAnsi="仿宋" w:eastAsia="仿宋" w:cs="Times New Roman"/>
                <w:szCs w:val="16"/>
              </w:rPr>
              <w:t>教研保障中心</w:t>
            </w:r>
          </w:p>
        </w:tc>
        <w:tc>
          <w:tcPr>
            <w:tcW w:w="1218" w:type="dxa"/>
            <w:vAlign w:val="center"/>
          </w:tcPr>
          <w:p>
            <w:pPr>
              <w:jc w:val="center"/>
              <w:rPr>
                <w:rFonts w:ascii="仿宋" w:hAnsi="仿宋" w:eastAsia="仿宋" w:cs="Times New Roman"/>
                <w:szCs w:val="16"/>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cs="Times New Roman"/>
                <w:szCs w:val="16"/>
              </w:rPr>
            </w:pPr>
            <w:r>
              <w:rPr>
                <w:rFonts w:hint="eastAsia" w:ascii="仿宋" w:hAnsi="仿宋" w:eastAsia="仿宋" w:cs="Times New Roman"/>
                <w:szCs w:val="16"/>
              </w:rPr>
              <w:t>发明了基于</w:t>
            </w:r>
            <w:r>
              <w:rPr>
                <w:rFonts w:ascii="仿宋" w:hAnsi="仿宋" w:eastAsia="仿宋" w:cs="Times New Roman"/>
                <w:szCs w:val="16"/>
              </w:rPr>
              <w:t>fMRI的抑郁症识别诊断系统</w:t>
            </w:r>
            <w:r>
              <w:rPr>
                <w:rFonts w:hint="eastAsia" w:ascii="仿宋" w:hAnsi="仿宋" w:eastAsia="仿宋" w:cs="Times New Roman"/>
                <w:szCs w:val="16"/>
              </w:rPr>
              <w:t>，临床精神科门诊就医人群和网络微博精神障碍症状人群的精神障碍早发现、早识别、早矫治提供工具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cs="Times New Roman"/>
                <w:szCs w:val="16"/>
              </w:rPr>
            </w:pPr>
            <w:r>
              <w:rPr>
                <w:rFonts w:hint="eastAsia" w:ascii="仿宋" w:hAnsi="仿宋" w:eastAsia="仿宋" w:cs="Times New Roman"/>
                <w:szCs w:val="16"/>
              </w:rPr>
              <w:t>朱霞</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4</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主任</w:t>
            </w:r>
          </w:p>
        </w:tc>
        <w:tc>
          <w:tcPr>
            <w:tcW w:w="1275" w:type="dxa"/>
            <w:vAlign w:val="center"/>
          </w:tcPr>
          <w:p>
            <w:pPr>
              <w:jc w:val="center"/>
              <w:rPr>
                <w:rFonts w:ascii="仿宋" w:hAnsi="仿宋" w:eastAsia="仿宋" w:cs="Times New Roman"/>
                <w:szCs w:val="16"/>
              </w:rPr>
            </w:pPr>
            <w:r>
              <w:rPr>
                <w:rFonts w:hint="eastAsia" w:ascii="仿宋" w:hAnsi="仿宋" w:eastAsia="仿宋" w:cs="Times New Roman"/>
                <w:szCs w:val="16"/>
              </w:rPr>
              <w:t>教授</w:t>
            </w:r>
          </w:p>
        </w:tc>
        <w:tc>
          <w:tcPr>
            <w:tcW w:w="1442" w:type="dxa"/>
            <w:vAlign w:val="center"/>
          </w:tcPr>
          <w:p>
            <w:pPr>
              <w:jc w:val="center"/>
              <w:rPr>
                <w:rFonts w:ascii="仿宋" w:hAnsi="仿宋" w:eastAsia="仿宋" w:cs="Times New Roman"/>
                <w:szCs w:val="16"/>
              </w:rPr>
            </w:pPr>
            <w:r>
              <w:rPr>
                <w:rFonts w:hint="eastAsia" w:ascii="仿宋" w:hAnsi="仿宋" w:eastAsia="仿宋" w:cs="Times New Roman"/>
                <w:szCs w:val="16"/>
              </w:rPr>
              <w:t>军事医学心理学系</w:t>
            </w:r>
          </w:p>
        </w:tc>
        <w:tc>
          <w:tcPr>
            <w:tcW w:w="1218" w:type="dxa"/>
            <w:vAlign w:val="center"/>
          </w:tcPr>
          <w:p>
            <w:pPr>
              <w:jc w:val="center"/>
              <w:rPr>
                <w:rFonts w:ascii="仿宋" w:hAnsi="仿宋" w:eastAsia="仿宋" w:cs="Times New Roman"/>
                <w:szCs w:val="16"/>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cs="Times New Roman"/>
                <w:szCs w:val="16"/>
              </w:rPr>
            </w:pPr>
            <w:r>
              <w:rPr>
                <w:rFonts w:hint="eastAsia" w:ascii="仿宋" w:hAnsi="仿宋" w:eastAsia="仿宋" w:cs="Times New Roman"/>
                <w:szCs w:val="16"/>
              </w:rPr>
              <w:t>研制</w:t>
            </w:r>
            <w:r>
              <w:rPr>
                <w:rFonts w:ascii="仿宋" w:hAnsi="仿宋" w:eastAsia="仿宋" w:cs="Times New Roman"/>
                <w:szCs w:val="16"/>
              </w:rPr>
              <w:t>注意力</w:t>
            </w:r>
            <w:r>
              <w:rPr>
                <w:rFonts w:hint="eastAsia" w:ascii="仿宋" w:hAnsi="仿宋" w:eastAsia="仿宋" w:cs="Times New Roman"/>
                <w:szCs w:val="16"/>
              </w:rPr>
              <w:t>-</w:t>
            </w:r>
            <w:r>
              <w:rPr>
                <w:rFonts w:ascii="仿宋" w:hAnsi="仿宋" w:eastAsia="仿宋" w:cs="Times New Roman"/>
                <w:szCs w:val="16"/>
              </w:rPr>
              <w:t>控制力测评软件</w:t>
            </w:r>
            <w:r>
              <w:rPr>
                <w:rFonts w:hint="eastAsia" w:ascii="仿宋" w:hAnsi="仿宋" w:eastAsia="仿宋" w:cs="Times New Roman"/>
                <w:szCs w:val="16"/>
              </w:rPr>
              <w:t>和</w:t>
            </w:r>
            <w:r>
              <w:rPr>
                <w:rFonts w:ascii="仿宋" w:hAnsi="仿宋" w:eastAsia="仿宋" w:cs="Times New Roman"/>
                <w:szCs w:val="16"/>
              </w:rPr>
              <w:t>认知评价软件</w:t>
            </w:r>
            <w:r>
              <w:rPr>
                <w:rFonts w:hint="eastAsia" w:ascii="仿宋" w:hAnsi="仿宋" w:eastAsia="仿宋" w:cs="Times New Roman"/>
                <w:szCs w:val="16"/>
              </w:rPr>
              <w:t>V</w:t>
            </w:r>
            <w:r>
              <w:rPr>
                <w:rFonts w:ascii="仿宋" w:hAnsi="仿宋" w:eastAsia="仿宋" w:cs="Times New Roman"/>
                <w:szCs w:val="16"/>
              </w:rPr>
              <w:t>1.0</w:t>
            </w:r>
            <w:r>
              <w:rPr>
                <w:rFonts w:hint="eastAsia" w:ascii="仿宋" w:hAnsi="仿宋" w:eastAsia="仿宋" w:cs="Times New Roman"/>
                <w:szCs w:val="16"/>
              </w:rPr>
              <w:t>，增强了信息化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cs="Times New Roman"/>
                <w:szCs w:val="16"/>
              </w:rPr>
            </w:pPr>
            <w:r>
              <w:rPr>
                <w:rFonts w:hint="eastAsia" w:ascii="仿宋" w:hAnsi="仿宋" w:eastAsia="仿宋" w:cs="Times New Roman"/>
                <w:szCs w:val="16"/>
              </w:rPr>
              <w:t>蔡敏</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5</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无</w:t>
            </w:r>
          </w:p>
        </w:tc>
        <w:tc>
          <w:tcPr>
            <w:tcW w:w="1275" w:type="dxa"/>
            <w:vAlign w:val="center"/>
          </w:tcPr>
          <w:p>
            <w:pPr>
              <w:jc w:val="center"/>
              <w:rPr>
                <w:rFonts w:ascii="仿宋" w:hAnsi="仿宋" w:eastAsia="仿宋" w:cs="Times New Roman"/>
                <w:szCs w:val="16"/>
              </w:rPr>
            </w:pPr>
            <w:r>
              <w:rPr>
                <w:rFonts w:hint="eastAsia" w:ascii="仿宋" w:hAnsi="仿宋" w:eastAsia="仿宋" w:cs="Times New Roman"/>
                <w:szCs w:val="16"/>
              </w:rPr>
              <w:t>主治医师</w:t>
            </w:r>
          </w:p>
        </w:tc>
        <w:tc>
          <w:tcPr>
            <w:tcW w:w="1442" w:type="dxa"/>
            <w:vAlign w:val="center"/>
          </w:tcPr>
          <w:p>
            <w:pPr>
              <w:jc w:val="center"/>
              <w:rPr>
                <w:rFonts w:ascii="仿宋" w:hAnsi="仿宋" w:eastAsia="仿宋" w:cs="Times New Roman"/>
                <w:szCs w:val="16"/>
              </w:rPr>
            </w:pPr>
            <w:r>
              <w:rPr>
                <w:rFonts w:hint="eastAsia" w:ascii="仿宋" w:hAnsi="仿宋" w:eastAsia="仿宋" w:cs="Times New Roman"/>
                <w:szCs w:val="16"/>
              </w:rPr>
              <w:t>第一附属医院心身科</w:t>
            </w:r>
          </w:p>
        </w:tc>
        <w:tc>
          <w:tcPr>
            <w:tcW w:w="1218" w:type="dxa"/>
            <w:vAlign w:val="center"/>
          </w:tcPr>
          <w:p>
            <w:pPr>
              <w:jc w:val="center"/>
              <w:rPr>
                <w:rFonts w:ascii="仿宋" w:hAnsi="仿宋" w:eastAsia="仿宋" w:cs="Times New Roman"/>
                <w:szCs w:val="16"/>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cs="Times New Roman"/>
                <w:szCs w:val="16"/>
              </w:rPr>
            </w:pPr>
            <w:r>
              <w:rPr>
                <w:rFonts w:hint="eastAsia" w:ascii="仿宋" w:hAnsi="仿宋" w:eastAsia="仿宋" w:cs="Times New Roman"/>
                <w:szCs w:val="16"/>
              </w:rPr>
              <w:t>从探求认知障碍机制方面取得进展，对精神科就诊量进行预警研究，为科学配比医疗资源和医务人员提供科学依据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 w:hAnsi="仿宋" w:eastAsia="仿宋" w:cs="Times New Roman"/>
                <w:szCs w:val="16"/>
              </w:rPr>
            </w:pPr>
            <w:r>
              <w:rPr>
                <w:rFonts w:hint="eastAsia" w:ascii="仿宋" w:hAnsi="仿宋" w:eastAsia="仿宋" w:cs="Times New Roman"/>
                <w:szCs w:val="16"/>
              </w:rPr>
              <w:t>郭建英</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6</w:t>
            </w:r>
          </w:p>
        </w:tc>
        <w:tc>
          <w:tcPr>
            <w:tcW w:w="1134" w:type="dxa"/>
            <w:vAlign w:val="center"/>
          </w:tcPr>
          <w:p>
            <w:pPr>
              <w:jc w:val="center"/>
              <w:rPr>
                <w:rFonts w:ascii="仿宋" w:hAnsi="仿宋" w:eastAsia="仿宋" w:cs="Times New Roman"/>
                <w:szCs w:val="16"/>
              </w:rPr>
            </w:pPr>
            <w:r>
              <w:rPr>
                <w:rFonts w:hint="eastAsia" w:ascii="仿宋" w:hAnsi="仿宋" w:eastAsia="仿宋" w:cs="Times New Roman"/>
                <w:szCs w:val="16"/>
              </w:rPr>
              <w:t>主任</w:t>
            </w:r>
          </w:p>
        </w:tc>
        <w:tc>
          <w:tcPr>
            <w:tcW w:w="1275" w:type="dxa"/>
            <w:vAlign w:val="center"/>
          </w:tcPr>
          <w:p>
            <w:pPr>
              <w:jc w:val="center"/>
              <w:rPr>
                <w:rFonts w:ascii="仿宋" w:hAnsi="仿宋" w:eastAsia="仿宋" w:cs="Times New Roman"/>
                <w:szCs w:val="16"/>
              </w:rPr>
            </w:pPr>
            <w:r>
              <w:rPr>
                <w:rFonts w:hint="eastAsia" w:ascii="仿宋" w:hAnsi="仿宋" w:eastAsia="仿宋" w:cs="Times New Roman"/>
                <w:szCs w:val="16"/>
              </w:rPr>
              <w:t>副教授</w:t>
            </w:r>
          </w:p>
        </w:tc>
        <w:tc>
          <w:tcPr>
            <w:tcW w:w="1442" w:type="dxa"/>
            <w:vAlign w:val="center"/>
          </w:tcPr>
          <w:p>
            <w:pPr>
              <w:jc w:val="center"/>
              <w:rPr>
                <w:rFonts w:ascii="仿宋" w:hAnsi="仿宋" w:eastAsia="仿宋" w:cs="Times New Roman"/>
                <w:szCs w:val="16"/>
              </w:rPr>
            </w:pPr>
            <w:r>
              <w:rPr>
                <w:rFonts w:hint="eastAsia" w:ascii="仿宋" w:hAnsi="仿宋" w:eastAsia="仿宋" w:cs="Times New Roman"/>
                <w:szCs w:val="16"/>
              </w:rPr>
              <w:t>第一附属医院军人医疗中心</w:t>
            </w:r>
          </w:p>
        </w:tc>
        <w:tc>
          <w:tcPr>
            <w:tcW w:w="1218" w:type="dxa"/>
            <w:vAlign w:val="center"/>
          </w:tcPr>
          <w:p>
            <w:pPr>
              <w:jc w:val="center"/>
              <w:rPr>
                <w:rFonts w:ascii="仿宋" w:hAnsi="仿宋" w:eastAsia="仿宋" w:cs="Times New Roman"/>
                <w:szCs w:val="16"/>
              </w:rPr>
            </w:pPr>
            <w:r>
              <w:rPr>
                <w:rFonts w:hint="eastAsia" w:ascii="仿宋" w:hAnsi="仿宋" w:eastAsia="仿宋" w:cs="Times New Roman"/>
                <w:szCs w:val="16"/>
              </w:rPr>
              <w:t>空军军医大学</w:t>
            </w:r>
          </w:p>
        </w:tc>
        <w:tc>
          <w:tcPr>
            <w:tcW w:w="1735" w:type="dxa"/>
            <w:vAlign w:val="center"/>
          </w:tcPr>
          <w:p>
            <w:pPr>
              <w:jc w:val="center"/>
              <w:rPr>
                <w:rFonts w:ascii="仿宋" w:hAnsi="仿宋" w:eastAsia="仿宋" w:cs="Times New Roman"/>
                <w:szCs w:val="16"/>
              </w:rPr>
            </w:pPr>
            <w:r>
              <w:rPr>
                <w:rFonts w:hint="eastAsia" w:ascii="仿宋" w:hAnsi="仿宋" w:eastAsia="仿宋" w:cs="Times New Roman"/>
                <w:szCs w:val="16"/>
              </w:rPr>
              <w:t>开展抑郁倾向症状人群网络特征分析与识别研究，构建精神科门诊病历语词库下抑郁语素词表</w:t>
            </w:r>
          </w:p>
        </w:tc>
      </w:tr>
    </w:tbl>
    <w:p>
      <w:pPr>
        <w:spacing w:beforeLines="50" w:line="340" w:lineRule="exact"/>
        <w:rPr>
          <w:rFonts w:ascii="仿宋_GB2312" w:eastAsia="仿宋_GB2312"/>
          <w:sz w:val="32"/>
        </w:rPr>
      </w:pPr>
      <w:r>
        <w:rPr>
          <w:rFonts w:hint="eastAsia" w:ascii="仿宋_GB2312" w:eastAsia="仿宋_GB2312"/>
          <w:sz w:val="32"/>
        </w:rPr>
        <w:t>三、主要完成单位及创新推广贡献</w:t>
      </w:r>
    </w:p>
    <w:tbl>
      <w:tblPr>
        <w:tblStyle w:val="6"/>
        <w:tblW w:w="903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09"/>
        <w:gridCol w:w="567"/>
        <w:gridCol w:w="796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9" w:type="dxa"/>
          </w:tcPr>
          <w:p>
            <w:pPr>
              <w:jc w:val="center"/>
              <w:rPr>
                <w:rFonts w:ascii="仿宋_GB2312" w:eastAsia="仿宋_GB2312"/>
                <w:szCs w:val="21"/>
              </w:rPr>
            </w:pPr>
            <w:r>
              <w:rPr>
                <w:rFonts w:hint="eastAsia" w:ascii="仿宋_GB2312" w:eastAsia="仿宋_GB2312"/>
                <w:szCs w:val="21"/>
              </w:rPr>
              <w:t>完成单位</w:t>
            </w:r>
          </w:p>
        </w:tc>
        <w:tc>
          <w:tcPr>
            <w:tcW w:w="567" w:type="dxa"/>
          </w:tcPr>
          <w:p>
            <w:pPr>
              <w:jc w:val="center"/>
              <w:rPr>
                <w:rFonts w:ascii="仿宋_GB2312" w:eastAsia="仿宋_GB2312"/>
                <w:szCs w:val="21"/>
              </w:rPr>
            </w:pPr>
            <w:r>
              <w:rPr>
                <w:rFonts w:hint="eastAsia" w:ascii="仿宋_GB2312" w:eastAsia="仿宋_GB2312"/>
                <w:szCs w:val="21"/>
              </w:rPr>
              <w:t>排名</w:t>
            </w:r>
          </w:p>
        </w:tc>
        <w:tc>
          <w:tcPr>
            <w:tcW w:w="7963" w:type="dxa"/>
            <w:vAlign w:val="center"/>
          </w:tcPr>
          <w:p>
            <w:pPr>
              <w:jc w:val="center"/>
              <w:rPr>
                <w:rFonts w:ascii="仿宋_GB2312" w:eastAsia="仿宋_GB2312"/>
                <w:szCs w:val="21"/>
              </w:rPr>
            </w:pPr>
            <w:r>
              <w:rPr>
                <w:rFonts w:hint="eastAsia" w:ascii="仿宋_GB2312" w:eastAsia="仿宋_GB2312"/>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9" w:type="dxa"/>
            <w:vAlign w:val="center"/>
          </w:tcPr>
          <w:p>
            <w:pPr>
              <w:rPr>
                <w:rFonts w:ascii="仿宋_GB2312" w:eastAsia="仿宋_GB2312"/>
                <w:szCs w:val="21"/>
              </w:rPr>
            </w:pPr>
            <w:r>
              <w:rPr>
                <w:rFonts w:hint="eastAsia" w:ascii="仿宋" w:hAnsi="仿宋" w:eastAsia="仿宋" w:cs="Times New Roman"/>
                <w:sz w:val="24"/>
                <w:szCs w:val="20"/>
              </w:rPr>
              <w:t>空军军医大学</w:t>
            </w:r>
          </w:p>
        </w:tc>
        <w:tc>
          <w:tcPr>
            <w:tcW w:w="567" w:type="dxa"/>
            <w:vAlign w:val="center"/>
          </w:tcPr>
          <w:p>
            <w:pPr>
              <w:jc w:val="center"/>
              <w:rPr>
                <w:rFonts w:ascii="仿宋_GB2312" w:eastAsia="仿宋_GB2312"/>
                <w:szCs w:val="21"/>
              </w:rPr>
            </w:pPr>
            <w:r>
              <w:rPr>
                <w:rFonts w:hint="eastAsia" w:ascii="仿宋_GB2312" w:eastAsia="仿宋_GB2312"/>
                <w:szCs w:val="21"/>
              </w:rPr>
              <w:t>1</w:t>
            </w:r>
          </w:p>
        </w:tc>
        <w:tc>
          <w:tcPr>
            <w:tcW w:w="7963" w:type="dxa"/>
            <w:vAlign w:val="center"/>
          </w:tcPr>
          <w:p>
            <w:pPr>
              <w:ind w:firstLine="420" w:firstLineChars="200"/>
              <w:rPr>
                <w:rFonts w:ascii="仿宋" w:hAnsi="仿宋" w:eastAsia="仿宋"/>
                <w:color w:val="373737"/>
                <w:szCs w:val="21"/>
              </w:rPr>
            </w:pPr>
            <w:r>
              <w:rPr>
                <w:rFonts w:hint="eastAsia" w:ascii="仿宋" w:hAnsi="仿宋" w:eastAsia="仿宋"/>
                <w:color w:val="373737"/>
                <w:szCs w:val="21"/>
              </w:rPr>
              <w:t>空军军医大学是一所培养高、中层次医学专业人才的全国重点大学。学校高度重视科学研究，在各职能部门专业人员的共同指导下，各项科技成果得以完成和转化输出，相关研究工作顺利开展。</w:t>
            </w:r>
          </w:p>
          <w:p>
            <w:pPr>
              <w:ind w:firstLine="420" w:firstLineChars="200"/>
              <w:rPr>
                <w:rFonts w:ascii="仿宋" w:hAnsi="仿宋" w:eastAsia="仿宋"/>
                <w:color w:val="373737"/>
                <w:szCs w:val="21"/>
              </w:rPr>
            </w:pPr>
            <w:r>
              <w:rPr>
                <w:rFonts w:hint="eastAsia" w:ascii="仿宋" w:hAnsi="仿宋" w:eastAsia="仿宋"/>
                <w:color w:val="373737"/>
                <w:szCs w:val="21"/>
              </w:rPr>
              <w:t>空军军医大学在项目进展过程中充分发挥了管理、组织、协调作用，帮助和支持项目组申报国家专利，发表科技论文，在人员、工作条件、科研资源等方面给予大力支持和优先保障，促进成果完成。</w:t>
            </w:r>
          </w:p>
          <w:p>
            <w:pPr>
              <w:ind w:firstLine="420" w:firstLineChars="200"/>
              <w:rPr>
                <w:rFonts w:ascii="仿宋" w:hAnsi="仿宋" w:eastAsia="仿宋"/>
                <w:color w:val="373737"/>
                <w:szCs w:val="21"/>
              </w:rPr>
            </w:pPr>
            <w:r>
              <w:rPr>
                <w:rFonts w:hint="eastAsia" w:ascii="仿宋" w:hAnsi="仿宋" w:eastAsia="仿宋"/>
                <w:color w:val="373737"/>
                <w:szCs w:val="21"/>
              </w:rPr>
              <w:t>空军军医大学第一附属医院心身科</w:t>
            </w:r>
            <w:r>
              <w:rPr>
                <w:rFonts w:ascii="仿宋" w:hAnsi="仿宋" w:eastAsia="仿宋"/>
              </w:rPr>
              <w:t>是全军心理卫生研究中心和全军脑应激与行为重点实验室，年诊治抑郁症患者3万人次以上。</w:t>
            </w:r>
            <w:r>
              <w:rPr>
                <w:rFonts w:hint="eastAsia" w:ascii="仿宋" w:hAnsi="仿宋" w:eastAsia="仿宋"/>
                <w:color w:val="373737"/>
                <w:szCs w:val="21"/>
              </w:rPr>
              <w:t>在项目开展过程中，该科室在</w:t>
            </w:r>
            <w:r>
              <w:rPr>
                <w:rFonts w:ascii="仿宋" w:hAnsi="仿宋" w:eastAsia="仿宋"/>
              </w:rPr>
              <w:t>治疗的实施、采集各类数据提供支持，</w:t>
            </w:r>
            <w:r>
              <w:rPr>
                <w:rFonts w:hint="eastAsia" w:ascii="仿宋" w:hAnsi="仿宋" w:eastAsia="仿宋"/>
                <w:color w:val="373737"/>
                <w:szCs w:val="21"/>
              </w:rPr>
              <w:t>提供了人员和技术支持，</w:t>
            </w:r>
            <w:r>
              <w:rPr>
                <w:rFonts w:ascii="仿宋" w:hAnsi="仿宋" w:eastAsia="仿宋"/>
              </w:rPr>
              <w:t>为项目的顺利开展提供了技术保证。</w:t>
            </w:r>
          </w:p>
        </w:tc>
      </w:tr>
    </w:tbl>
    <w:p>
      <w:pPr>
        <w:rPr>
          <w:rFonts w:ascii="仿宋_GB2312" w:eastAsia="仿宋_GB2312"/>
          <w:sz w:val="32"/>
        </w:rPr>
      </w:pPr>
      <w:r>
        <w:rPr>
          <w:rFonts w:hint="eastAsia" w:ascii="仿宋_GB2312" w:eastAsia="仿宋_GB2312"/>
          <w:sz w:val="32"/>
        </w:rPr>
        <w:t>四、提名者</w:t>
      </w:r>
    </w:p>
    <w:p>
      <w:pPr>
        <w:ind w:firstLine="640" w:firstLineChars="200"/>
        <w:rPr>
          <w:rFonts w:ascii="仿宋_GB2312" w:eastAsia="仿宋_GB2312"/>
          <w:sz w:val="32"/>
        </w:rPr>
      </w:pPr>
      <w:r>
        <w:rPr>
          <w:rFonts w:hint="eastAsia" w:ascii="仿宋_GB2312" w:eastAsia="仿宋_GB2312"/>
          <w:sz w:val="32"/>
        </w:rPr>
        <w:t>陕西省卫生健康委员会</w:t>
      </w:r>
    </w:p>
    <w:p>
      <w:pPr>
        <w:rPr>
          <w:rFonts w:ascii="仿宋_GB2312" w:eastAsia="仿宋_GB2312"/>
          <w:sz w:val="32"/>
        </w:rPr>
      </w:pPr>
      <w:r>
        <w:rPr>
          <w:rFonts w:hint="eastAsia" w:ascii="仿宋_GB2312" w:eastAsia="仿宋_GB2312"/>
          <w:sz w:val="32"/>
        </w:rPr>
        <w:t>五、提名意见</w:t>
      </w:r>
    </w:p>
    <w:p>
      <w:pPr>
        <w:ind w:firstLine="640" w:firstLineChars="200"/>
        <w:rPr>
          <w:rFonts w:ascii="仿宋_GB2312" w:eastAsia="仿宋_GB2312"/>
          <w:sz w:val="32"/>
        </w:rPr>
      </w:pPr>
      <w:r>
        <w:rPr>
          <w:rFonts w:hint="eastAsia" w:ascii="仿宋_GB2312" w:eastAsia="仿宋_GB2312"/>
          <w:sz w:val="32"/>
          <w:lang w:val="en-US" w:eastAsia="zh-CN"/>
        </w:rPr>
        <w:t>拟</w:t>
      </w:r>
      <w:r>
        <w:rPr>
          <w:rFonts w:hint="eastAsia" w:ascii="仿宋_GB2312" w:eastAsia="仿宋_GB2312"/>
          <w:bCs/>
          <w:spacing w:val="2"/>
          <w:sz w:val="32"/>
        </w:rPr>
        <w:t>提名该项目为陕西省科技进步奖</w:t>
      </w:r>
      <w:bookmarkStart w:id="0" w:name="_GoBack"/>
      <w:bookmarkEnd w:id="0"/>
      <w:r>
        <w:rPr>
          <w:rFonts w:hint="eastAsia" w:ascii="仿宋_GB2312" w:eastAsia="仿宋_GB2312"/>
          <w:bCs/>
          <w:spacing w:val="2"/>
          <w:sz w:val="32"/>
        </w:rPr>
        <w:t>。</w:t>
      </w:r>
    </w:p>
    <w:p>
      <w:pPr>
        <w:rPr>
          <w:rFonts w:ascii="仿宋_GB2312" w:eastAsia="仿宋_GB2312"/>
          <w:sz w:val="32"/>
        </w:rPr>
      </w:pPr>
      <w:r>
        <w:rPr>
          <w:rFonts w:hint="eastAsia" w:ascii="仿宋_GB2312" w:eastAsia="仿宋_GB2312"/>
          <w:sz w:val="32"/>
        </w:rPr>
        <w:t>六、项目简介</w:t>
      </w:r>
    </w:p>
    <w:p>
      <w:pPr>
        <w:spacing w:line="360" w:lineRule="auto"/>
        <w:ind w:firstLine="627" w:firstLineChars="196"/>
        <w:rPr>
          <w:rFonts w:ascii="仿宋" w:hAnsi="仿宋" w:eastAsia="仿宋"/>
          <w:bCs/>
          <w:sz w:val="32"/>
          <w:szCs w:val="32"/>
        </w:rPr>
      </w:pPr>
      <w:r>
        <w:rPr>
          <w:rFonts w:hint="eastAsia" w:ascii="仿宋" w:hAnsi="仿宋" w:eastAsia="仿宋"/>
          <w:bCs/>
          <w:sz w:val="32"/>
          <w:szCs w:val="32"/>
        </w:rPr>
        <w:t>本项目通过网络信息提取及分析技术对精神障碍就诊人群特征的分析，探讨精神障碍人群网络行为信息与精神障碍人群就医行为的关系，为个人就医、综合医院精神障碍就诊人群预测及特殊人群精神健康早期评估提供指导，为特定人群提供早期干预，指导卫生资源有效配置，提高卫生资源效益。</w:t>
      </w:r>
    </w:p>
    <w:p>
      <w:pPr>
        <w:spacing w:line="360" w:lineRule="auto"/>
        <w:ind w:firstLine="627" w:firstLineChars="196"/>
        <w:rPr>
          <w:rFonts w:ascii="仿宋" w:hAnsi="仿宋" w:eastAsia="仿宋"/>
          <w:bCs/>
          <w:sz w:val="32"/>
          <w:szCs w:val="32"/>
        </w:rPr>
      </w:pPr>
      <w:r>
        <w:rPr>
          <w:rFonts w:hint="eastAsia" w:ascii="仿宋" w:hAnsi="仿宋" w:eastAsia="仿宋"/>
          <w:bCs/>
          <w:sz w:val="32"/>
          <w:szCs w:val="32"/>
        </w:rPr>
        <w:t>课题组首先对综合医院精神科就诊人群特征分析研究。采用描述性统计方法对综合医院精神科就诊人群年度就诊量、性别、年龄分布、就诊病种、身份类别等进行描述性统计分析；采用自然语言处理技术，通过对门诊病历语言描述进行分割、清洗和新词构建，形成基本语素，提取关键语词，进而建立综合医院精神科门诊病历语词库，分析语词库中语素的特点。其次，研究精神障碍症状人群网络行为与就医行为关系研究。根据综合医院精神科门诊病历语词库，提取10个精神障碍词频最高的关键词语，对其百度指数与医院精神科门诊量进行相关分析，建立基于关键语词的百度指数精神科门诊量预测模型，并确定预警值。第三，开展</w:t>
      </w:r>
      <w:r>
        <w:rPr>
          <w:rFonts w:ascii="仿宋" w:hAnsi="仿宋" w:eastAsia="仿宋"/>
          <w:bCs/>
          <w:sz w:val="32"/>
          <w:szCs w:val="32"/>
        </w:rPr>
        <w:t>基于网络爬虫技术对综合医院精神科就诊行为的预测研究。根据网络热点事件的特点，采用网络爬虫技术挖掘可诱发或加重精神障碍症状人群的互联网信息以及相关网络热点事件，探讨网络信息传播趋势的特点和规律，对综合医院精神科就诊量进行预警研究，为科学配比医疗资源和医务人员提供科学依据。</w:t>
      </w:r>
      <w:r>
        <w:rPr>
          <w:rFonts w:hint="eastAsia" w:ascii="仿宋" w:hAnsi="仿宋" w:eastAsia="仿宋"/>
          <w:bCs/>
          <w:sz w:val="32"/>
          <w:szCs w:val="32"/>
        </w:rPr>
        <w:t>最后，开展抑郁倾向症状人群网络特征分析与识别研究。基于陌生人社交平台和微博平台，以在微博平台包括人民网等多家网络媒体上实施过抑郁自评量表（SDS）的微博账户为研究对象。构建精神科门诊病历语词库下抑郁语素词表，分析微博账户微博信息的静态特征、语言学特征以及行为学特征等，建立抑郁倾向的判别模型，为临床和特殊人群抑郁倾向的早期评估提供指导。</w:t>
      </w:r>
    </w:p>
    <w:p>
      <w:pPr>
        <w:spacing w:line="360" w:lineRule="auto"/>
        <w:ind w:firstLine="627" w:firstLineChars="196"/>
        <w:rPr>
          <w:rFonts w:ascii="仿宋" w:hAnsi="仿宋" w:eastAsia="仿宋"/>
          <w:bCs/>
          <w:sz w:val="32"/>
          <w:szCs w:val="32"/>
        </w:rPr>
      </w:pPr>
      <w:r>
        <w:rPr>
          <w:rFonts w:hint="eastAsia" w:ascii="仿宋" w:hAnsi="仿宋" w:eastAsia="仿宋"/>
          <w:bCs/>
          <w:sz w:val="32"/>
          <w:szCs w:val="32"/>
        </w:rPr>
        <w:t>综上，课题组通过精神障碍语言信息分析和提取技术，探讨网络信息特点和规律与综合医院精神障碍人群就医行为的关系，可能成为对精神障碍的早发现、早识别、早矫治的一项重要手段，为综合医院精神障碍就诊人数的预测和精神科医务人员的合理配比提供科学依据。</w:t>
      </w:r>
    </w:p>
    <w:p>
      <w:pPr>
        <w:rPr>
          <w:rFonts w:ascii="仿宋_GB2312" w:eastAsia="仿宋_GB2312"/>
          <w:sz w:val="32"/>
        </w:rPr>
      </w:pPr>
      <w:r>
        <w:rPr>
          <w:rFonts w:hint="eastAsia" w:ascii="仿宋_GB2312" w:eastAsia="仿宋_GB2312"/>
          <w:sz w:val="32"/>
        </w:rPr>
        <w:t>七、客观评价</w:t>
      </w:r>
    </w:p>
    <w:p>
      <w:pPr>
        <w:ind w:firstLine="640" w:firstLineChars="200"/>
        <w:rPr>
          <w:rFonts w:ascii="仿宋" w:hAnsi="仿宋" w:eastAsia="仿宋"/>
          <w:bCs/>
          <w:sz w:val="32"/>
          <w:szCs w:val="32"/>
        </w:rPr>
      </w:pPr>
      <w:r>
        <w:rPr>
          <w:rFonts w:hint="eastAsia" w:ascii="仿宋" w:hAnsi="仿宋" w:eastAsia="仿宋"/>
          <w:bCs/>
          <w:sz w:val="32"/>
          <w:szCs w:val="32"/>
        </w:rPr>
        <w:t>该成果完成了对综合医院精神科就诊人群语言分析与提取，回答了特定网络信息与精神障碍症状人群就医行为之间存在特定关系的问题，为临床精神科门诊就医人群和网络微博精神障碍症状人群的精神障碍早发现、早识别、早矫治和综合医院精神科医务人员合理配比提供了科学依据，国内暂时未见相关研究报道，该成果为指导卫生资源有效配置、提高卫生资源利用效益提供了理论依据。同时表明，通过利用好网络信息、做好网络行为的积极引导、对网络关键词语实时监测和预警，可有效降低信息损伤的危害性，提高应对突发热点事件的能力，提升人群心理健康水平。</w:t>
      </w:r>
    </w:p>
    <w:p>
      <w:pPr>
        <w:rPr>
          <w:rFonts w:ascii="仿宋_GB2312" w:eastAsia="仿宋_GB2312"/>
          <w:sz w:val="32"/>
        </w:rPr>
      </w:pPr>
      <w:r>
        <w:rPr>
          <w:rFonts w:hint="eastAsia" w:ascii="仿宋_GB2312" w:eastAsia="仿宋_GB2312"/>
          <w:sz w:val="32"/>
        </w:rPr>
        <w:t>八、应用情况</w:t>
      </w:r>
    </w:p>
    <w:p>
      <w:pPr>
        <w:spacing w:line="480" w:lineRule="auto"/>
        <w:ind w:firstLine="643" w:firstLineChars="200"/>
        <w:rPr>
          <w:rFonts w:ascii="仿宋" w:hAnsi="仿宋" w:eastAsia="仿宋"/>
          <w:b/>
          <w:sz w:val="32"/>
          <w:szCs w:val="32"/>
        </w:rPr>
      </w:pPr>
      <w:r>
        <w:rPr>
          <w:rFonts w:hint="eastAsia" w:ascii="仿宋" w:hAnsi="仿宋" w:eastAsia="仿宋"/>
          <w:b/>
          <w:sz w:val="32"/>
          <w:szCs w:val="32"/>
        </w:rPr>
        <w:t>课题组研究的门诊量统计分析软件V</w:t>
      </w:r>
      <w:r>
        <w:rPr>
          <w:rFonts w:ascii="仿宋" w:hAnsi="仿宋" w:eastAsia="仿宋"/>
          <w:b/>
          <w:sz w:val="32"/>
          <w:szCs w:val="32"/>
        </w:rPr>
        <w:t>1.0</w:t>
      </w:r>
      <w:r>
        <w:rPr>
          <w:rFonts w:hint="eastAsia" w:ascii="仿宋" w:hAnsi="仿宋" w:eastAsia="仿宋"/>
          <w:b/>
          <w:sz w:val="32"/>
          <w:szCs w:val="32"/>
        </w:rPr>
        <w:t>在新城区胡家庙社区卫生服务中心、西安市东方医院、新城区韩森寨社区卫生服务站3家医院应用。</w:t>
      </w:r>
    </w:p>
    <w:p>
      <w:pPr>
        <w:spacing w:line="480" w:lineRule="auto"/>
        <w:ind w:firstLine="643" w:firstLineChars="200"/>
        <w:rPr>
          <w:rFonts w:ascii="仿宋" w:hAnsi="仿宋" w:eastAsia="仿宋"/>
          <w:b/>
          <w:sz w:val="32"/>
          <w:szCs w:val="32"/>
        </w:rPr>
      </w:pPr>
      <w:r>
        <w:rPr>
          <w:rFonts w:hint="eastAsia" w:ascii="仿宋" w:hAnsi="仿宋" w:eastAsia="仿宋"/>
          <w:b/>
          <w:sz w:val="32"/>
          <w:szCs w:val="32"/>
        </w:rPr>
        <w:t>该统计分析软件主要用于统计门诊患者就诊量及数据分析，从患者年龄、性别、诊断、症状关键词等分组分析，该软件程序可以在Windows、Linux以及macOS等多平台下运行，整个系统区可分为不同的功能模块，各个模块之间相互结合，统计速度快，结果准确率高，能够完成数据的读取、预处理、分析以及结果展示等功能。该软件应答速度快，统计结果准确，图表美观大方，大大缩短统计时间，提高工作效率，应用效果良好。</w:t>
      </w:r>
    </w:p>
    <w:p>
      <w:pPr>
        <w:pStyle w:val="2"/>
        <w:spacing w:line="390" w:lineRule="exact"/>
        <w:ind w:firstLine="0" w:firstLineChars="0"/>
        <w:outlineLvl w:val="2"/>
        <w:rPr>
          <w:rFonts w:ascii="宋体" w:hAnsi="宋体"/>
          <w:bCs/>
          <w:color w:val="000000"/>
        </w:rPr>
      </w:pPr>
    </w:p>
    <w:tbl>
      <w:tblPr>
        <w:tblStyle w:val="5"/>
        <w:tblW w:w="7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701"/>
        <w:gridCol w:w="1134"/>
        <w:gridCol w:w="1984"/>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3" w:type="dxa"/>
            <w:gridSpan w:val="6"/>
            <w:shd w:val="clear" w:color="auto" w:fill="auto"/>
          </w:tcPr>
          <w:p>
            <w:pPr>
              <w:pStyle w:val="2"/>
              <w:spacing w:line="390" w:lineRule="exact"/>
              <w:ind w:firstLine="0" w:firstLineChars="0"/>
              <w:jc w:val="center"/>
              <w:outlineLvl w:val="2"/>
              <w:rPr>
                <w:rFonts w:ascii="宋体" w:hAnsi="宋体"/>
                <w:bCs/>
                <w:color w:val="000000"/>
                <w:sz w:val="21"/>
                <w:szCs w:val="21"/>
              </w:rPr>
            </w:pPr>
            <w:r>
              <w:rPr>
                <w:rFonts w:hint="eastAsia" w:ascii="宋体" w:hAnsi="宋体"/>
                <w:bCs/>
                <w:color w:val="000000"/>
                <w:sz w:val="21"/>
                <w:szCs w:val="21"/>
              </w:rPr>
              <w:t>主要应用单位情况表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序号</w:t>
            </w:r>
          </w:p>
        </w:tc>
        <w:tc>
          <w:tcPr>
            <w:tcW w:w="170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单位名称</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应用的技术</w:t>
            </w:r>
          </w:p>
        </w:tc>
        <w:tc>
          <w:tcPr>
            <w:tcW w:w="198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应用对象及规模</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应用起止时间</w:t>
            </w:r>
          </w:p>
        </w:tc>
        <w:tc>
          <w:tcPr>
            <w:tcW w:w="1559"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1</w:t>
            </w:r>
          </w:p>
        </w:tc>
        <w:tc>
          <w:tcPr>
            <w:tcW w:w="170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西安市新城区韩森寨东方社区卫生服务站</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软件应用</w:t>
            </w:r>
          </w:p>
        </w:tc>
        <w:tc>
          <w:tcPr>
            <w:tcW w:w="198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社区卫生服务站门诊办公室</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2020.01-2020.03</w:t>
            </w:r>
          </w:p>
        </w:tc>
        <w:tc>
          <w:tcPr>
            <w:tcW w:w="1559"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潘红方/13389244669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2</w:t>
            </w:r>
          </w:p>
        </w:tc>
        <w:tc>
          <w:tcPr>
            <w:tcW w:w="170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西安市东方医院</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软件应用</w:t>
            </w:r>
          </w:p>
        </w:tc>
        <w:tc>
          <w:tcPr>
            <w:tcW w:w="198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医院门诊统计室</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2020.01-2020.03</w:t>
            </w:r>
          </w:p>
        </w:tc>
        <w:tc>
          <w:tcPr>
            <w:tcW w:w="1559"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潘红方/13389244669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3</w:t>
            </w:r>
          </w:p>
        </w:tc>
        <w:tc>
          <w:tcPr>
            <w:tcW w:w="1701"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西安市新城区胡家庙社区卫生服务中心</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软件应用</w:t>
            </w:r>
          </w:p>
        </w:tc>
        <w:tc>
          <w:tcPr>
            <w:tcW w:w="198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社区卫生服务站门诊办公室</w:t>
            </w:r>
          </w:p>
        </w:tc>
        <w:tc>
          <w:tcPr>
            <w:tcW w:w="1134"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2</w:t>
            </w:r>
            <w:r>
              <w:rPr>
                <w:rFonts w:hAnsi="宋体" w:eastAsia="仿宋_GB2312"/>
                <w:bCs/>
                <w:color w:val="000000"/>
                <w:sz w:val="21"/>
                <w:szCs w:val="21"/>
              </w:rPr>
              <w:t>019.07-2019.12</w:t>
            </w:r>
          </w:p>
        </w:tc>
        <w:tc>
          <w:tcPr>
            <w:tcW w:w="1559" w:type="dxa"/>
            <w:shd w:val="clear" w:color="auto" w:fill="auto"/>
          </w:tcPr>
          <w:p>
            <w:pPr>
              <w:pStyle w:val="2"/>
              <w:spacing w:line="390" w:lineRule="exact"/>
              <w:ind w:firstLine="0" w:firstLineChars="0"/>
              <w:outlineLvl w:val="2"/>
              <w:rPr>
                <w:rFonts w:hAnsi="宋体" w:eastAsia="仿宋_GB2312"/>
                <w:bCs/>
                <w:color w:val="000000"/>
                <w:sz w:val="21"/>
                <w:szCs w:val="21"/>
              </w:rPr>
            </w:pPr>
            <w:r>
              <w:rPr>
                <w:rFonts w:hint="eastAsia" w:hAnsi="宋体" w:eastAsia="仿宋_GB2312"/>
                <w:bCs/>
                <w:color w:val="000000"/>
                <w:sz w:val="21"/>
                <w:szCs w:val="21"/>
              </w:rPr>
              <w:t>何彬/13002953354</w:t>
            </w:r>
          </w:p>
        </w:tc>
      </w:tr>
    </w:tbl>
    <w:p>
      <w:pPr>
        <w:rPr>
          <w:rFonts w:ascii="仿宋_GB2312" w:eastAsia="仿宋_GB2312"/>
          <w:sz w:val="32"/>
        </w:rPr>
      </w:pPr>
    </w:p>
    <w:p>
      <w:pPr>
        <w:rPr>
          <w:rFonts w:ascii="仿宋_GB2312" w:eastAsia="仿宋_GB2312"/>
          <w:sz w:val="32"/>
        </w:rPr>
      </w:pPr>
      <w:r>
        <w:rPr>
          <w:rFonts w:hint="eastAsia" w:ascii="仿宋_GB2312" w:eastAsia="仿宋_GB2312"/>
          <w:sz w:val="32"/>
        </w:rPr>
        <w:t>九、主要知识产权和标准规范等目录</w:t>
      </w:r>
    </w:p>
    <w:tbl>
      <w:tblPr>
        <w:tblStyle w:val="5"/>
        <w:tblW w:w="89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720"/>
        <w:gridCol w:w="1843"/>
        <w:gridCol w:w="704"/>
        <w:gridCol w:w="975"/>
        <w:gridCol w:w="1134"/>
        <w:gridCol w:w="1134"/>
        <w:gridCol w:w="912"/>
        <w:gridCol w:w="9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序号</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知识产权类别</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知识产权</w:t>
            </w:r>
          </w:p>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具体名称</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国家</w:t>
            </w:r>
          </w:p>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（地区）</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授权号</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授权日期</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证书编号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权利人</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1</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Perceptual expertise impacts preattentive processing of visual simple feature: a visual mismatch negativity study</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sz w:val="21"/>
                <w:szCs w:val="16"/>
              </w:rPr>
            </w:pPr>
            <w:r>
              <w:rPr>
                <w:rFonts w:hint="eastAsia"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rPr>
              <w:t>2018 Mar 21;29(5):341-346.</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2018.03</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Neuroreport</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空军军医大学第一附属医院</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苗丹民</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2</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基于XGBoo</w:t>
            </w:r>
            <w:r>
              <w:rPr>
                <w:rFonts w:ascii="仿宋" w:hAnsi="仿宋" w:eastAsia="仿宋"/>
                <w:sz w:val="21"/>
                <w:szCs w:val="21"/>
              </w:rPr>
              <w:t>s</w:t>
            </w:r>
            <w:r>
              <w:rPr>
                <w:rFonts w:hint="eastAsia" w:ascii="仿宋" w:hAnsi="仿宋" w:eastAsia="仿宋"/>
                <w:sz w:val="21"/>
                <w:szCs w:val="21"/>
              </w:rPr>
              <w:t>t的精神科门诊量预测模型</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jc w:val="left"/>
              <w:rPr>
                <w:rFonts w:ascii="Times New Roman" w:hAnsi="Times New Roman" w:eastAsia="宋体" w:cs="Times New Roman"/>
                <w:szCs w:val="21"/>
              </w:rPr>
            </w:pPr>
            <w:r>
              <w:rPr>
                <w:rFonts w:ascii="Times New Roman"/>
                <w:szCs w:val="21"/>
              </w:rPr>
              <w:t>2019,33(04):272-275+291.</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2019.04</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华南国防医学杂志</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张瑶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3</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软件著作权</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基于XGBoost的门诊量预测系统V</w:t>
            </w:r>
            <w:r>
              <w:rPr>
                <w:rFonts w:ascii="仿宋" w:hAnsi="仿宋" w:eastAsia="仿宋"/>
                <w:sz w:val="21"/>
                <w:szCs w:val="21"/>
              </w:rPr>
              <w:t>1.0</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jc w:val="left"/>
              <w:rPr>
                <w:rFonts w:ascii="Times New Roman"/>
                <w:szCs w:val="21"/>
              </w:rPr>
            </w:pPr>
            <w:r>
              <w:rPr>
                <w:rFonts w:ascii="Times New Roman"/>
                <w:szCs w:val="21"/>
              </w:rPr>
              <w:t>2020SR0051151</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2020.01.10</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sz w:val="21"/>
                <w:szCs w:val="16"/>
              </w:rPr>
            </w:pPr>
            <w:r>
              <w:rPr>
                <w:rFonts w:ascii="Times New Roman"/>
                <w:sz w:val="21"/>
                <w:szCs w:val="21"/>
              </w:rPr>
              <w:t>4929847</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中国人民解放军空军军医大学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b/>
                <w:bCs/>
                <w:sz w:val="21"/>
                <w:szCs w:val="21"/>
              </w:rPr>
              <w:t>刘健</w:t>
            </w:r>
            <w:r>
              <w:rPr>
                <w:rFonts w:hint="eastAsia" w:ascii="仿宋" w:hAnsi="仿宋" w:eastAsia="仿宋"/>
                <w:sz w:val="21"/>
                <w:szCs w:val="21"/>
              </w:rPr>
              <w:t>，李宝娟，</w:t>
            </w:r>
            <w:r>
              <w:rPr>
                <w:rFonts w:hint="eastAsia" w:ascii="仿宋" w:hAnsi="仿宋" w:eastAsia="仿宋"/>
                <w:b/>
                <w:bCs/>
                <w:sz w:val="21"/>
                <w:szCs w:val="21"/>
              </w:rPr>
              <w:t>张瑶，</w:t>
            </w:r>
            <w:r>
              <w:rPr>
                <w:rFonts w:hint="eastAsia" w:ascii="仿宋" w:hAnsi="仿宋" w:eastAsia="仿宋"/>
                <w:sz w:val="21"/>
                <w:szCs w:val="21"/>
              </w:rPr>
              <w:t>韦磊，许浩，尚子田，张军超，靳豪杰，宁玉文，唐甜，沈霞娟，冯健飞，高东怀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4</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慢性骨性疼痛患者焦虑与抑郁情况及影响因素</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before="100" w:beforeAutospacing="1" w:after="100" w:afterAutospacing="1" w:line="300" w:lineRule="atLeast"/>
              <w:jc w:val="left"/>
              <w:outlineLvl w:val="2"/>
              <w:rPr>
                <w:rFonts w:ascii="Times New Roman" w:hAnsi="Times New Roman" w:eastAsia="宋体" w:cs="Times New Roman"/>
                <w:szCs w:val="21"/>
              </w:rPr>
            </w:pPr>
            <w:r>
              <w:rPr>
                <w:rFonts w:ascii="Times New Roman" w:hAnsi="Times New Roman" w:eastAsia="宋体" w:cs="Times New Roman"/>
                <w:szCs w:val="21"/>
              </w:rPr>
              <w:t>2019,35(09):1252-1255.</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2019.05</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职业与健康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空军军医大学第一附属医院</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黄鹏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5</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sz w:val="21"/>
                <w:szCs w:val="16"/>
              </w:rPr>
            </w:pPr>
            <w:r>
              <w:rPr>
                <w:rFonts w:ascii="Times New Roman"/>
                <w:sz w:val="21"/>
                <w:szCs w:val="21"/>
              </w:rPr>
              <w:t>Identifying first-episode drug naïve patients with schizophrenia with or without auditory verbal hallucinations using whole-brain functional connectivity: A pattern analysis study</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sz w:val="21"/>
                <w:szCs w:val="16"/>
              </w:rPr>
            </w:pPr>
            <w:r>
              <w:rPr>
                <w:sz w:val="21"/>
                <w:szCs w:val="16"/>
              </w:rP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before="100" w:beforeAutospacing="1" w:after="100" w:afterAutospacing="1" w:line="300" w:lineRule="atLeast"/>
              <w:jc w:val="left"/>
              <w:outlineLvl w:val="2"/>
              <w:rPr>
                <w:rFonts w:ascii="Times New Roman" w:hAnsi="Times New Roman" w:eastAsia="宋体" w:cs="Times New Roman"/>
                <w:szCs w:val="21"/>
              </w:rPr>
            </w:pPr>
            <w:r>
              <w:rPr>
                <w:rFonts w:ascii="Times New Roman" w:hAnsi="Times New Roman" w:eastAsia="宋体" w:cs="Times New Roman"/>
                <w:szCs w:val="21"/>
              </w:rPr>
              <w:t>2018 Apr 26;19:351-359.</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w:t>
            </w:r>
            <w:r>
              <w:rPr>
                <w:rFonts w:ascii="Times New Roman"/>
                <w:sz w:val="21"/>
                <w:szCs w:val="21"/>
              </w:rPr>
              <w:t>018.04</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Neuroimage Clin. </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苗丹民</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6</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Repetitive Transcranial Magnetic Stimulation Elicits Antidepressant- and Anxiolytic-like Effect via Nuclear Factor-E2-related Factor 2-mediated Anti-inflammation Mechanism in Rats</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 2020 Mar 1;429:119-133.</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2020.03</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Times New Roman"/>
                <w:sz w:val="21"/>
                <w:szCs w:val="21"/>
              </w:rPr>
              <w:t>Neuroscience</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空军军医大学第一附属医院</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蔡敏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7</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陆航飞行学员主观幸福感和焦虑的关系及坚毅品质的中介作用</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2020,36(02):93-94+98</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w:t>
            </w:r>
            <w:r>
              <w:rPr>
                <w:rFonts w:ascii="Times New Roman"/>
                <w:sz w:val="21"/>
                <w:szCs w:val="21"/>
              </w:rPr>
              <w:t>020.04</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空军医学杂志</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空军军医大学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朱霞</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8</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发明专利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基于倒排索引结构的S</w:t>
            </w:r>
            <w:r>
              <w:rPr>
                <w:rFonts w:ascii="仿宋" w:hAnsi="仿宋" w:eastAsia="仿宋"/>
                <w:sz w:val="21"/>
                <w:szCs w:val="21"/>
              </w:rPr>
              <w:t>TR</w:t>
            </w:r>
            <w:r>
              <w:rPr>
                <w:rFonts w:hint="eastAsia" w:ascii="仿宋" w:hAnsi="仿宋" w:eastAsia="仿宋"/>
                <w:sz w:val="21"/>
                <w:szCs w:val="21"/>
              </w:rPr>
              <w:t>数据存储及亲子鉴定排序比对方法</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Z</w:t>
            </w:r>
            <w:r>
              <w:rPr>
                <w:rFonts w:ascii="Times New Roman"/>
                <w:sz w:val="21"/>
                <w:szCs w:val="21"/>
              </w:rPr>
              <w:t>L 2015 1 0590067.X</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w:t>
            </w:r>
            <w:r>
              <w:rPr>
                <w:rFonts w:ascii="Times New Roman"/>
                <w:sz w:val="21"/>
                <w:szCs w:val="21"/>
              </w:rPr>
              <w:t>018.05.01</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w:t>
            </w:r>
            <w:r>
              <w:rPr>
                <w:rFonts w:ascii="Times New Roman"/>
                <w:sz w:val="21"/>
                <w:szCs w:val="21"/>
              </w:rPr>
              <w:t>906806</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b/>
                <w:bCs/>
                <w:sz w:val="21"/>
                <w:szCs w:val="21"/>
              </w:rPr>
              <w:t>刘健</w:t>
            </w:r>
            <w:r>
              <w:rPr>
                <w:rFonts w:hint="eastAsia" w:ascii="仿宋" w:hAnsi="仿宋" w:eastAsia="仿宋"/>
                <w:sz w:val="21"/>
                <w:szCs w:val="21"/>
              </w:rPr>
              <w:t>，李宝娟，高东怀，许卫中，孙茂，许浩，靳豪杰，张军超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仿宋" w:hAnsi="仿宋" w:eastAsia="仿宋"/>
                <w:sz w:val="21"/>
                <w:szCs w:val="21"/>
              </w:rPr>
            </w:pPr>
            <w:r>
              <w:rPr>
                <w:rFonts w:ascii="仿宋" w:hAnsi="仿宋" w:eastAsia="仿宋"/>
                <w:sz w:val="21"/>
                <w:szCs w:val="21"/>
              </w:rPr>
              <w:t>9</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ascii="仿宋" w:hAnsi="仿宋" w:eastAsia="仿宋"/>
                <w:sz w:val="21"/>
                <w:szCs w:val="21"/>
              </w:rPr>
              <w:t>软件著作权</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基于</w:t>
            </w:r>
            <w:r>
              <w:rPr>
                <w:rFonts w:ascii="仿宋" w:hAnsi="仿宋" w:eastAsia="仿宋"/>
                <w:sz w:val="21"/>
                <w:szCs w:val="21"/>
              </w:rPr>
              <w:t>fMRI的抑郁症识别诊断系统</w:t>
            </w:r>
          </w:p>
        </w:tc>
        <w:tc>
          <w:tcPr>
            <w:tcW w:w="7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ascii="Times New Roman"/>
                <w:sz w:val="21"/>
                <w:szCs w:val="21"/>
              </w:rPr>
              <w:t>2019SR1273258</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2</w:t>
            </w:r>
            <w:r>
              <w:rPr>
                <w:rFonts w:ascii="Times New Roman"/>
                <w:sz w:val="21"/>
                <w:szCs w:val="21"/>
              </w:rPr>
              <w:t>019.12.03</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sz w:val="21"/>
                <w:szCs w:val="21"/>
              </w:rPr>
            </w:pPr>
            <w:r>
              <w:rPr>
                <w:rFonts w:hint="eastAsia" w:ascii="Times New Roman"/>
                <w:sz w:val="21"/>
                <w:szCs w:val="21"/>
              </w:rPr>
              <w:t>4</w:t>
            </w:r>
            <w:r>
              <w:rPr>
                <w:rFonts w:ascii="Times New Roman"/>
                <w:sz w:val="21"/>
                <w:szCs w:val="21"/>
              </w:rPr>
              <w:t>694015</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sz w:val="21"/>
                <w:szCs w:val="21"/>
              </w:rPr>
              <w:t>中国人民解放军第四军医大学</w:t>
            </w:r>
          </w:p>
        </w:tc>
        <w:tc>
          <w:tcPr>
            <w:tcW w:w="97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仿宋" w:hAnsi="仿宋" w:eastAsia="仿宋"/>
                <w:sz w:val="21"/>
                <w:szCs w:val="21"/>
              </w:rPr>
            </w:pPr>
            <w:r>
              <w:rPr>
                <w:rFonts w:hint="eastAsia" w:ascii="仿宋" w:hAnsi="仿宋" w:eastAsia="仿宋"/>
                <w:b/>
                <w:bCs/>
                <w:sz w:val="21"/>
                <w:szCs w:val="21"/>
              </w:rPr>
              <w:t>刘健</w:t>
            </w:r>
            <w:r>
              <w:rPr>
                <w:rFonts w:hint="eastAsia" w:ascii="仿宋" w:hAnsi="仿宋" w:eastAsia="仿宋"/>
                <w:sz w:val="21"/>
                <w:szCs w:val="21"/>
              </w:rPr>
              <w:t>，李宝娟，韦磊，许浩，尚子田，张军超，靳豪杰，宁玉文，唐甜，沈霞娟，冯健飞，高东怀</w:t>
            </w:r>
          </w:p>
        </w:tc>
      </w:tr>
    </w:tbl>
    <w:p>
      <w:pPr>
        <w:rPr>
          <w:rFonts w:ascii="仿宋_GB2312" w:eastAsia="仿宋_GB2312"/>
          <w:sz w:val="32"/>
        </w:rPr>
      </w:pPr>
      <w:r>
        <w:rPr>
          <w:rFonts w:hint="eastAsia" w:ascii="仿宋_GB2312" w:eastAsia="仿宋_GB2312"/>
          <w:sz w:val="32"/>
        </w:rPr>
        <w:t>十、完成人合作关系说明</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016</w:t>
      </w:r>
      <w:r>
        <w:rPr>
          <w:rFonts w:hint="eastAsia" w:ascii="仿宋" w:hAnsi="仿宋" w:eastAsia="仿宋"/>
          <w:sz w:val="32"/>
          <w:szCs w:val="32"/>
        </w:rPr>
        <w:t>年9月起，张瑶作为第一负责人，开始对网络信息对精神障碍人群就医行为预测的模型建立与早期识别策略进行研究，依托本科室郭建英主任，联合空军军医大学军事医学心理学系朱霞主任、黄鹏副主任，教研保障中心刘健副教授，第一附属医院心身科蔡敏主治医师等骨干组成团队，攻关该项目就医行为预测的模型建立、早期识别策略研究、研发软件系统等工作，具体工作分工如下：</w:t>
      </w:r>
    </w:p>
    <w:p>
      <w:pPr>
        <w:rPr>
          <w:rFonts w:ascii="仿宋" w:hAnsi="仿宋" w:eastAsia="仿宋"/>
          <w:sz w:val="32"/>
          <w:szCs w:val="32"/>
        </w:rPr>
      </w:pPr>
      <w:r>
        <w:rPr>
          <w:rFonts w:hint="eastAsia" w:ascii="仿宋" w:hAnsi="仿宋" w:eastAsia="仿宋"/>
          <w:b/>
          <w:bCs/>
          <w:sz w:val="32"/>
          <w:szCs w:val="32"/>
        </w:rPr>
        <w:t>张瑶：</w:t>
      </w:r>
      <w:r>
        <w:rPr>
          <w:rFonts w:hint="eastAsia" w:ascii="仿宋" w:hAnsi="仿宋" w:eastAsia="仿宋"/>
          <w:sz w:val="32"/>
          <w:szCs w:val="32"/>
        </w:rPr>
        <w:t>总体设计、项目规划、监督落实、验收与评奖。</w:t>
      </w:r>
    </w:p>
    <w:p>
      <w:pPr>
        <w:rPr>
          <w:rFonts w:ascii="仿宋" w:hAnsi="仿宋" w:eastAsia="仿宋"/>
          <w:sz w:val="32"/>
          <w:szCs w:val="32"/>
        </w:rPr>
      </w:pPr>
      <w:r>
        <w:rPr>
          <w:rFonts w:hint="eastAsia" w:ascii="仿宋" w:hAnsi="仿宋" w:eastAsia="仿宋"/>
          <w:b/>
          <w:bCs/>
          <w:sz w:val="32"/>
          <w:szCs w:val="32"/>
        </w:rPr>
        <w:t>黄鹏：</w:t>
      </w:r>
      <w:r>
        <w:rPr>
          <w:rFonts w:hint="eastAsia" w:ascii="仿宋" w:hAnsi="仿宋" w:eastAsia="仿宋"/>
          <w:sz w:val="32"/>
          <w:szCs w:val="32"/>
        </w:rPr>
        <w:t>实时监测和预警网络关键词语，制定评估标准、申请专利、组织应用</w:t>
      </w:r>
    </w:p>
    <w:p>
      <w:pPr>
        <w:rPr>
          <w:rFonts w:ascii="仿宋" w:hAnsi="仿宋" w:eastAsia="仿宋"/>
          <w:sz w:val="32"/>
          <w:szCs w:val="32"/>
        </w:rPr>
      </w:pPr>
      <w:r>
        <w:rPr>
          <w:rFonts w:hint="eastAsia" w:ascii="仿宋" w:hAnsi="仿宋" w:eastAsia="仿宋"/>
          <w:b/>
          <w:bCs/>
          <w:sz w:val="32"/>
          <w:szCs w:val="32"/>
        </w:rPr>
        <w:t>刘健：</w:t>
      </w:r>
      <w:r>
        <w:rPr>
          <w:rFonts w:hint="eastAsia" w:ascii="仿宋" w:hAnsi="仿宋" w:eastAsia="仿宋"/>
          <w:sz w:val="32"/>
          <w:szCs w:val="32"/>
        </w:rPr>
        <w:t>发明基于</w:t>
      </w:r>
      <w:r>
        <w:rPr>
          <w:rFonts w:ascii="仿宋" w:hAnsi="仿宋" w:eastAsia="仿宋"/>
          <w:sz w:val="32"/>
          <w:szCs w:val="32"/>
        </w:rPr>
        <w:t>fMRI的抑郁症识别诊断系统</w:t>
      </w:r>
      <w:r>
        <w:rPr>
          <w:rFonts w:hint="eastAsia" w:ascii="仿宋" w:hAnsi="仿宋" w:eastAsia="仿宋"/>
          <w:sz w:val="32"/>
          <w:szCs w:val="32"/>
        </w:rPr>
        <w:t>，构建精神障碍回归预测模型</w:t>
      </w:r>
    </w:p>
    <w:p>
      <w:pPr>
        <w:rPr>
          <w:rFonts w:ascii="仿宋" w:hAnsi="仿宋" w:eastAsia="仿宋"/>
          <w:sz w:val="32"/>
          <w:szCs w:val="32"/>
        </w:rPr>
      </w:pPr>
      <w:r>
        <w:rPr>
          <w:rFonts w:hint="eastAsia" w:ascii="仿宋" w:hAnsi="仿宋" w:eastAsia="仿宋"/>
          <w:b/>
          <w:bCs/>
          <w:sz w:val="32"/>
          <w:szCs w:val="32"/>
        </w:rPr>
        <w:t>朱霞：</w:t>
      </w:r>
      <w:r>
        <w:rPr>
          <w:rFonts w:hint="eastAsia" w:ascii="仿宋" w:hAnsi="仿宋" w:eastAsia="仿宋"/>
          <w:sz w:val="32"/>
          <w:szCs w:val="32"/>
        </w:rPr>
        <w:t>设计培训模式、组织应用，研制</w:t>
      </w:r>
      <w:r>
        <w:rPr>
          <w:rFonts w:ascii="仿宋" w:hAnsi="仿宋" w:eastAsia="仿宋"/>
          <w:sz w:val="32"/>
          <w:szCs w:val="32"/>
        </w:rPr>
        <w:t>注意力</w:t>
      </w:r>
      <w:r>
        <w:rPr>
          <w:rFonts w:hint="eastAsia" w:ascii="仿宋" w:hAnsi="仿宋" w:eastAsia="仿宋"/>
          <w:sz w:val="32"/>
          <w:szCs w:val="32"/>
        </w:rPr>
        <w:t>-</w:t>
      </w:r>
      <w:r>
        <w:rPr>
          <w:rFonts w:ascii="仿宋" w:hAnsi="仿宋" w:eastAsia="仿宋"/>
          <w:sz w:val="32"/>
          <w:szCs w:val="32"/>
        </w:rPr>
        <w:t>控制力测评软件</w:t>
      </w:r>
      <w:r>
        <w:rPr>
          <w:rFonts w:hint="eastAsia" w:ascii="仿宋" w:hAnsi="仿宋" w:eastAsia="仿宋"/>
          <w:sz w:val="32"/>
          <w:szCs w:val="32"/>
        </w:rPr>
        <w:t>和</w:t>
      </w:r>
      <w:r>
        <w:rPr>
          <w:rFonts w:ascii="仿宋" w:hAnsi="仿宋" w:eastAsia="仿宋"/>
          <w:sz w:val="32"/>
          <w:szCs w:val="32"/>
        </w:rPr>
        <w:t>认知评价软件</w:t>
      </w:r>
      <w:r>
        <w:rPr>
          <w:rFonts w:hint="eastAsia" w:ascii="仿宋" w:hAnsi="仿宋" w:eastAsia="仿宋"/>
          <w:sz w:val="32"/>
          <w:szCs w:val="32"/>
        </w:rPr>
        <w:t>V</w:t>
      </w:r>
      <w:r>
        <w:rPr>
          <w:rFonts w:ascii="仿宋" w:hAnsi="仿宋" w:eastAsia="仿宋"/>
          <w:sz w:val="32"/>
          <w:szCs w:val="32"/>
        </w:rPr>
        <w:t>1.0</w:t>
      </w:r>
      <w:r>
        <w:rPr>
          <w:rFonts w:hint="eastAsia" w:ascii="仿宋" w:hAnsi="仿宋" w:eastAsia="仿宋"/>
          <w:sz w:val="32"/>
          <w:szCs w:val="32"/>
        </w:rPr>
        <w:t>，增强了信息化</w:t>
      </w:r>
    </w:p>
    <w:p>
      <w:pPr>
        <w:rPr>
          <w:rFonts w:ascii="仿宋" w:hAnsi="仿宋" w:eastAsia="仿宋"/>
          <w:sz w:val="32"/>
          <w:szCs w:val="32"/>
        </w:rPr>
      </w:pPr>
      <w:r>
        <w:rPr>
          <w:rFonts w:hint="eastAsia" w:ascii="仿宋" w:hAnsi="仿宋" w:eastAsia="仿宋"/>
          <w:b/>
          <w:bCs/>
          <w:sz w:val="32"/>
          <w:szCs w:val="32"/>
        </w:rPr>
        <w:t>蔡敏：</w:t>
      </w:r>
      <w:r>
        <w:rPr>
          <w:rFonts w:hint="eastAsia" w:ascii="仿宋" w:hAnsi="仿宋" w:eastAsia="仿宋"/>
          <w:sz w:val="32"/>
          <w:szCs w:val="32"/>
        </w:rPr>
        <w:t>建立热点事件网络行为就诊预警系统，推广网络预警思路</w:t>
      </w:r>
    </w:p>
    <w:p>
      <w:pPr>
        <w:rPr>
          <w:rFonts w:ascii="仿宋" w:hAnsi="仿宋" w:eastAsia="仿宋"/>
          <w:sz w:val="32"/>
          <w:szCs w:val="32"/>
        </w:rPr>
      </w:pPr>
      <w:r>
        <w:rPr>
          <w:rFonts w:hint="eastAsia" w:ascii="仿宋" w:hAnsi="仿宋" w:eastAsia="仿宋"/>
          <w:b/>
          <w:bCs/>
          <w:sz w:val="32"/>
          <w:szCs w:val="32"/>
        </w:rPr>
        <w:t>郭建英：</w:t>
      </w:r>
      <w:r>
        <w:rPr>
          <w:rFonts w:hint="eastAsia" w:ascii="仿宋" w:hAnsi="仿宋" w:eastAsia="仿宋"/>
          <w:sz w:val="32"/>
          <w:szCs w:val="32"/>
        </w:rPr>
        <w:t>设计培训模式、组织应用、建立综合医院精神科门诊病历语词库</w:t>
      </w:r>
    </w:p>
    <w:p>
      <w:pPr>
        <w:pStyle w:val="8"/>
        <w:ind w:left="420" w:firstLine="0" w:firstLineChars="0"/>
        <w:rPr>
          <w:rFonts w:ascii="仿宋_GB2312" w:eastAsia="仿宋_GB2312"/>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568CC"/>
    <w:rsid w:val="000F1138"/>
    <w:rsid w:val="00123672"/>
    <w:rsid w:val="0014707E"/>
    <w:rsid w:val="00207479"/>
    <w:rsid w:val="0025101F"/>
    <w:rsid w:val="002757D1"/>
    <w:rsid w:val="002D6FF9"/>
    <w:rsid w:val="00321F7B"/>
    <w:rsid w:val="003377E7"/>
    <w:rsid w:val="003E5DC8"/>
    <w:rsid w:val="00446985"/>
    <w:rsid w:val="00453C7D"/>
    <w:rsid w:val="0047023E"/>
    <w:rsid w:val="004D4A00"/>
    <w:rsid w:val="005C1757"/>
    <w:rsid w:val="005D0280"/>
    <w:rsid w:val="005F2535"/>
    <w:rsid w:val="00612C67"/>
    <w:rsid w:val="0063432F"/>
    <w:rsid w:val="00647D08"/>
    <w:rsid w:val="00793B7C"/>
    <w:rsid w:val="0085587B"/>
    <w:rsid w:val="008924F8"/>
    <w:rsid w:val="00910491"/>
    <w:rsid w:val="009640E2"/>
    <w:rsid w:val="00A00840"/>
    <w:rsid w:val="00A41E3A"/>
    <w:rsid w:val="00AF0CE5"/>
    <w:rsid w:val="00B04F22"/>
    <w:rsid w:val="00B265E3"/>
    <w:rsid w:val="00BD2BB8"/>
    <w:rsid w:val="00BD6C11"/>
    <w:rsid w:val="00C12940"/>
    <w:rsid w:val="00C40526"/>
    <w:rsid w:val="00C42907"/>
    <w:rsid w:val="00CA07C6"/>
    <w:rsid w:val="00D109DE"/>
    <w:rsid w:val="00D11484"/>
    <w:rsid w:val="00D529D1"/>
    <w:rsid w:val="00D551CB"/>
    <w:rsid w:val="00D61F6A"/>
    <w:rsid w:val="00DB7B74"/>
    <w:rsid w:val="00E15A1B"/>
    <w:rsid w:val="00E8564E"/>
    <w:rsid w:val="00F340C9"/>
    <w:rsid w:val="00F4727F"/>
    <w:rsid w:val="00F64F13"/>
    <w:rsid w:val="00F7008E"/>
    <w:rsid w:val="00F944F5"/>
    <w:rsid w:val="6DFD49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qFormat/>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8</Pages>
  <Words>3326</Words>
  <Characters>4095</Characters>
  <Lines>31</Lines>
  <Paragraphs>8</Paragraphs>
  <TotalTime>13</TotalTime>
  <ScaleCrop>false</ScaleCrop>
  <LinksUpToDate>false</LinksUpToDate>
  <CharactersWithSpaces>4157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2022-06-28T09:57:00Z</dcterms:created>
  <dc:creator>NTKO</dc:creator>
  <cp:lastModifiedBy>37046</cp:lastModifiedBy>
  <cp:lastPrinted>2022-06-28T09:58:00Z</cp:lastPrinted>
  <dcterms:modified xsi:type="dcterms:W3CDTF">2022-06-30T15:12:33Z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070C9D5AB7EB4F8B90AEC0A980E1A05F</vt:lpwstr>
  </property>
</Properties>
</file>