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eastAsia="仿宋_GB2312"/>
          <w:sz w:val="32"/>
        </w:rPr>
      </w:pPr>
      <w:r>
        <w:rPr>
          <w:rFonts w:hint="eastAsia" w:ascii="仿宋_GB2312" w:eastAsia="仿宋_GB2312"/>
          <w:sz w:val="32"/>
        </w:rPr>
        <w:t>一、项目名称</w:t>
      </w:r>
    </w:p>
    <w:p>
      <w:pPr>
        <w:ind w:firstLine="560" w:firstLineChars="200"/>
        <w:rPr>
          <w:rFonts w:ascii="仿宋_GB2312" w:eastAsia="仿宋_GB2312"/>
          <w:sz w:val="32"/>
        </w:rPr>
      </w:pPr>
      <w:r>
        <w:rPr>
          <w:rFonts w:hint="eastAsia" w:ascii="仿宋_GB2312" w:eastAsia="仿宋_GB2312"/>
          <w:sz w:val="28"/>
          <w:szCs w:val="21"/>
        </w:rPr>
        <w:t>支链氨基酸加重代谢紊乱及心肌损伤的作用和机制</w:t>
      </w:r>
      <w:bookmarkStart w:id="0" w:name="_GoBack"/>
      <w:bookmarkEnd w:id="0"/>
    </w:p>
    <w:p>
      <w:pPr>
        <w:rPr>
          <w:rFonts w:ascii="仿宋_GB2312" w:eastAsia="仿宋_GB2312"/>
          <w:sz w:val="32"/>
        </w:rPr>
      </w:pPr>
      <w:r>
        <w:rPr>
          <w:rFonts w:hint="eastAsia" w:ascii="仿宋_GB2312" w:eastAsia="仿宋_GB2312"/>
          <w:sz w:val="32"/>
        </w:rPr>
        <w:t>二、主要完成人</w:t>
      </w:r>
    </w:p>
    <w:tbl>
      <w:tblPr>
        <w:tblStyle w:val="7"/>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675"/>
        <w:gridCol w:w="709"/>
        <w:gridCol w:w="1134"/>
        <w:gridCol w:w="1134"/>
        <w:gridCol w:w="1134"/>
        <w:gridCol w:w="1134"/>
        <w:gridCol w:w="3119"/>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tcPr>
          <w:p>
            <w:pPr>
              <w:jc w:val="center"/>
              <w:rPr>
                <w:rFonts w:ascii="仿宋_GB2312" w:eastAsia="仿宋_GB2312"/>
                <w:szCs w:val="21"/>
              </w:rPr>
            </w:pPr>
            <w:r>
              <w:rPr>
                <w:rFonts w:hint="eastAsia" w:ascii="仿宋_GB2312" w:eastAsia="仿宋_GB2312"/>
                <w:szCs w:val="21"/>
              </w:rPr>
              <w:t>姓名</w:t>
            </w:r>
          </w:p>
        </w:tc>
        <w:tc>
          <w:tcPr>
            <w:tcW w:w="709" w:type="dxa"/>
          </w:tcPr>
          <w:p>
            <w:pPr>
              <w:jc w:val="center"/>
              <w:rPr>
                <w:rFonts w:ascii="仿宋_GB2312" w:eastAsia="仿宋_GB2312"/>
                <w:szCs w:val="21"/>
              </w:rPr>
            </w:pPr>
            <w:r>
              <w:rPr>
                <w:rFonts w:hint="eastAsia" w:ascii="仿宋_GB2312" w:eastAsia="仿宋_GB2312"/>
                <w:szCs w:val="21"/>
              </w:rPr>
              <w:t>排名</w:t>
            </w:r>
          </w:p>
        </w:tc>
        <w:tc>
          <w:tcPr>
            <w:tcW w:w="1134" w:type="dxa"/>
          </w:tcPr>
          <w:p>
            <w:pPr>
              <w:jc w:val="center"/>
              <w:rPr>
                <w:rFonts w:ascii="仿宋_GB2312" w:eastAsia="仿宋_GB2312"/>
                <w:szCs w:val="21"/>
              </w:rPr>
            </w:pPr>
            <w:r>
              <w:rPr>
                <w:rFonts w:hint="eastAsia" w:ascii="仿宋_GB2312" w:eastAsia="仿宋_GB2312"/>
                <w:szCs w:val="21"/>
              </w:rPr>
              <w:t>行政职务</w:t>
            </w:r>
          </w:p>
        </w:tc>
        <w:tc>
          <w:tcPr>
            <w:tcW w:w="1134" w:type="dxa"/>
          </w:tcPr>
          <w:p>
            <w:pPr>
              <w:jc w:val="center"/>
              <w:rPr>
                <w:rFonts w:ascii="仿宋_GB2312" w:eastAsia="仿宋_GB2312"/>
                <w:szCs w:val="21"/>
              </w:rPr>
            </w:pPr>
            <w:r>
              <w:rPr>
                <w:rFonts w:hint="eastAsia" w:ascii="仿宋_GB2312" w:eastAsia="仿宋_GB2312"/>
                <w:szCs w:val="21"/>
              </w:rPr>
              <w:t>技术职称</w:t>
            </w:r>
          </w:p>
        </w:tc>
        <w:tc>
          <w:tcPr>
            <w:tcW w:w="1134" w:type="dxa"/>
          </w:tcPr>
          <w:p>
            <w:pPr>
              <w:jc w:val="center"/>
              <w:rPr>
                <w:rFonts w:ascii="仿宋_GB2312" w:eastAsia="仿宋_GB2312"/>
                <w:szCs w:val="21"/>
              </w:rPr>
            </w:pPr>
            <w:r>
              <w:rPr>
                <w:rFonts w:hint="eastAsia" w:ascii="仿宋_GB2312" w:eastAsia="仿宋_GB2312"/>
                <w:szCs w:val="21"/>
              </w:rPr>
              <w:t>工作单位</w:t>
            </w:r>
          </w:p>
        </w:tc>
        <w:tc>
          <w:tcPr>
            <w:tcW w:w="1134" w:type="dxa"/>
          </w:tcPr>
          <w:p>
            <w:pPr>
              <w:jc w:val="center"/>
              <w:rPr>
                <w:rFonts w:ascii="仿宋_GB2312" w:eastAsia="仿宋_GB2312"/>
                <w:szCs w:val="21"/>
              </w:rPr>
            </w:pPr>
            <w:r>
              <w:rPr>
                <w:rFonts w:hint="eastAsia" w:ascii="仿宋_GB2312" w:eastAsia="仿宋_GB2312"/>
                <w:szCs w:val="21"/>
              </w:rPr>
              <w:t>完成单位</w:t>
            </w:r>
          </w:p>
        </w:tc>
        <w:tc>
          <w:tcPr>
            <w:tcW w:w="3119" w:type="dxa"/>
          </w:tcPr>
          <w:p>
            <w:pPr>
              <w:jc w:val="center"/>
              <w:rPr>
                <w:rFonts w:ascii="仿宋_GB2312" w:eastAsia="仿宋_GB2312"/>
                <w:szCs w:val="21"/>
              </w:rPr>
            </w:pPr>
            <w:r>
              <w:rPr>
                <w:rFonts w:hint="eastAsia" w:ascii="仿宋_GB2312" w:eastAsia="仿宋_GB2312"/>
                <w:szCs w:val="21"/>
              </w:rPr>
              <w:t>对本项目贡献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jc w:val="center"/>
              <w:rPr>
                <w:rFonts w:ascii="仿宋_GB2312" w:eastAsia="仿宋_GB2312"/>
                <w:sz w:val="24"/>
              </w:rPr>
            </w:pPr>
            <w:r>
              <w:rPr>
                <w:rFonts w:hint="eastAsia" w:ascii="Times New Roman"/>
              </w:rPr>
              <w:t>陶凌</w:t>
            </w:r>
          </w:p>
        </w:tc>
        <w:tc>
          <w:tcPr>
            <w:tcW w:w="709" w:type="dxa"/>
            <w:vAlign w:val="center"/>
          </w:tcPr>
          <w:p>
            <w:pPr>
              <w:jc w:val="center"/>
              <w:rPr>
                <w:rFonts w:ascii="Times New Roman"/>
              </w:rPr>
            </w:pPr>
            <w:r>
              <w:rPr>
                <w:rFonts w:hint="eastAsia" w:ascii="Times New Roman"/>
              </w:rPr>
              <w:t>第一</w:t>
            </w:r>
          </w:p>
        </w:tc>
        <w:tc>
          <w:tcPr>
            <w:tcW w:w="1134" w:type="dxa"/>
            <w:vAlign w:val="center"/>
          </w:tcPr>
          <w:p>
            <w:pPr>
              <w:jc w:val="center"/>
              <w:rPr>
                <w:rFonts w:ascii="仿宋_GB2312" w:eastAsia="仿宋_GB2312"/>
                <w:sz w:val="24"/>
              </w:rPr>
            </w:pPr>
            <w:r>
              <w:rPr>
                <w:rFonts w:hint="eastAsia" w:ascii="Times New Roman"/>
              </w:rPr>
              <w:t>科室主任</w:t>
            </w:r>
          </w:p>
        </w:tc>
        <w:tc>
          <w:tcPr>
            <w:tcW w:w="1134" w:type="dxa"/>
            <w:vAlign w:val="center"/>
          </w:tcPr>
          <w:p>
            <w:pPr>
              <w:rPr>
                <w:rFonts w:ascii="仿宋_GB2312" w:eastAsia="仿宋_GB2312"/>
                <w:sz w:val="24"/>
              </w:rPr>
            </w:pPr>
            <w:r>
              <w:rPr>
                <w:rFonts w:ascii="Times New Roman"/>
              </w:rPr>
              <w:t>教授</w:t>
            </w:r>
            <w:r>
              <w:rPr>
                <w:rFonts w:hint="eastAsia" w:ascii="Times New Roman"/>
              </w:rPr>
              <w:t>、</w:t>
            </w:r>
            <w:r>
              <w:rPr>
                <w:rFonts w:ascii="Times New Roman"/>
              </w:rPr>
              <w:t>主任医师</w:t>
            </w:r>
          </w:p>
        </w:tc>
        <w:tc>
          <w:tcPr>
            <w:tcW w:w="1134" w:type="dxa"/>
            <w:vAlign w:val="center"/>
          </w:tcPr>
          <w:p>
            <w:pPr>
              <w:rPr>
                <w:rFonts w:ascii="仿宋_GB2312" w:eastAsia="仿宋_GB2312"/>
                <w:sz w:val="24"/>
              </w:rPr>
            </w:pPr>
            <w:r>
              <w:rPr>
                <w:rFonts w:hint="eastAsia" w:ascii="Times New Roman"/>
              </w:rPr>
              <w:t>中国人民解放军</w:t>
            </w:r>
            <w:r>
              <w:rPr>
                <w:rFonts w:ascii="Times New Roman"/>
              </w:rPr>
              <w:t>空军军医大学</w:t>
            </w:r>
          </w:p>
        </w:tc>
        <w:tc>
          <w:tcPr>
            <w:tcW w:w="1134" w:type="dxa"/>
            <w:vAlign w:val="center"/>
          </w:tcPr>
          <w:p>
            <w:pPr>
              <w:rPr>
                <w:rFonts w:ascii="仿宋_GB2312" w:eastAsia="仿宋_GB2312"/>
                <w:sz w:val="24"/>
              </w:rPr>
            </w:pPr>
            <w:r>
              <w:rPr>
                <w:rFonts w:hint="eastAsia" w:ascii="Times New Roman"/>
              </w:rPr>
              <w:t>中国人民解放军</w:t>
            </w:r>
            <w:r>
              <w:rPr>
                <w:rFonts w:ascii="Times New Roman"/>
              </w:rPr>
              <w:t>空军军医大学</w:t>
            </w:r>
          </w:p>
        </w:tc>
        <w:tc>
          <w:tcPr>
            <w:tcW w:w="3119" w:type="dxa"/>
            <w:vAlign w:val="center"/>
          </w:tcPr>
          <w:p>
            <w:pPr>
              <w:pStyle w:val="3"/>
              <w:spacing w:line="360" w:lineRule="exact"/>
              <w:ind w:firstLine="420"/>
              <w:rPr>
                <w:rFonts w:ascii="Times New Roman"/>
                <w:sz w:val="21"/>
              </w:rPr>
            </w:pPr>
            <w:r>
              <w:rPr>
                <w:rFonts w:hint="eastAsia" w:ascii="Times New Roman"/>
                <w:sz w:val="21"/>
              </w:rPr>
              <w:t>主持本项目大部分工作，主要贡献是科技创新1、2、3，如下：</w:t>
            </w:r>
          </w:p>
          <w:p>
            <w:pPr>
              <w:pStyle w:val="3"/>
              <w:spacing w:line="360" w:lineRule="exact"/>
              <w:ind w:firstLine="0" w:firstLineChars="0"/>
              <w:rPr>
                <w:rFonts w:ascii="Times New Roman"/>
                <w:sz w:val="21"/>
              </w:rPr>
            </w:pPr>
            <w:r>
              <w:rPr>
                <w:rFonts w:hint="eastAsia" w:ascii="Times New Roman"/>
                <w:sz w:val="21"/>
              </w:rPr>
              <w:t>1、首次阐明了脂联素-AMPK信号受损是2型糖尿病（T2DM）小鼠支链氨基酸（BCAA）分解代谢障碍和病理性积聚的重要原因，BCAA通过促进肝脏Akt2泛素化降解导致胰岛素抵抗和器官损伤，揭示了T2DM与BCAA代谢障碍之间的恶性循环。</w:t>
            </w:r>
          </w:p>
          <w:p>
            <w:pPr>
              <w:pStyle w:val="3"/>
              <w:spacing w:line="360" w:lineRule="exact"/>
              <w:ind w:firstLine="0" w:firstLineChars="0"/>
              <w:rPr>
                <w:rFonts w:ascii="Times New Roman"/>
                <w:sz w:val="21"/>
              </w:rPr>
            </w:pPr>
            <w:r>
              <w:rPr>
                <w:rFonts w:ascii="Times New Roman"/>
                <w:sz w:val="21"/>
              </w:rPr>
              <w:t>2</w:t>
            </w:r>
            <w:r>
              <w:rPr>
                <w:rFonts w:hint="eastAsia" w:ascii="Times New Roman"/>
                <w:sz w:val="21"/>
              </w:rPr>
              <w:t>、解析了衰竭心肌代谢特征，发现BCAA蓄积导致心肌损伤和心脏重构的现象，并阐明其分子机制，提出“支链氨基酸损伤”学说。</w:t>
            </w:r>
          </w:p>
          <w:p>
            <w:pPr>
              <w:pStyle w:val="3"/>
              <w:spacing w:line="360" w:lineRule="exact"/>
              <w:ind w:firstLine="0" w:firstLineChars="0"/>
              <w:rPr>
                <w:rFonts w:ascii="Times New Roman"/>
                <w:sz w:val="21"/>
              </w:rPr>
            </w:pPr>
            <w:r>
              <w:rPr>
                <w:rFonts w:hint="eastAsia" w:ascii="Times New Roman"/>
                <w:sz w:val="21"/>
              </w:rPr>
              <w:t>3、发现了增强脂联素/脂联素受体通路、增强BCAA分解代谢酶活性等小分子化合物/调节因子，直接促进了BCAA的分解代谢，显著减轻了代谢紊乱和心肌损伤。</w:t>
            </w:r>
          </w:p>
          <w:p>
            <w:pPr>
              <w:ind w:firstLine="420" w:firstLineChars="200"/>
              <w:rPr>
                <w:rFonts w:ascii="仿宋_GB2312" w:eastAsia="仿宋_GB2312"/>
                <w:sz w:val="24"/>
              </w:rPr>
            </w:pPr>
            <w:r>
              <w:rPr>
                <w:rFonts w:hint="eastAsia" w:ascii="Times New Roman"/>
              </w:rPr>
              <w:t>本项目工作占本人工作量的</w:t>
            </w:r>
            <w:r>
              <w:rPr>
                <w:rFonts w:ascii="Times New Roman"/>
              </w:rPr>
              <w:t>6</w:t>
            </w:r>
            <w:r>
              <w:rPr>
                <w:rFonts w:hint="eastAsia" w:ascii="Times New Roman"/>
              </w:rPr>
              <w:t>0%，作为通讯作者发表代表性论著</w:t>
            </w:r>
            <w:r>
              <w:rPr>
                <w:rFonts w:ascii="Times New Roman"/>
              </w:rPr>
              <w:t>1</w:t>
            </w:r>
            <w:r>
              <w:rPr>
                <w:rFonts w:hint="eastAsia" w:ascii="Times New Roman"/>
              </w:rPr>
              <w:t>、</w:t>
            </w:r>
            <w:r>
              <w:rPr>
                <w:rFonts w:ascii="Times New Roman"/>
              </w:rPr>
              <w:t>2</w:t>
            </w:r>
            <w:r>
              <w:rPr>
                <w:rFonts w:hint="eastAsia" w:ascii="Times New Roman"/>
              </w:rPr>
              <w:t>、</w:t>
            </w:r>
            <w:r>
              <w:rPr>
                <w:rFonts w:ascii="Times New Roman"/>
              </w:rPr>
              <w:t>4</w:t>
            </w:r>
            <w:r>
              <w:rPr>
                <w:rFonts w:hint="eastAsia" w:ascii="Times New Roman"/>
              </w:rPr>
              <w:t>、</w:t>
            </w:r>
            <w:r>
              <w:rPr>
                <w:rFonts w:ascii="Times New Roman"/>
              </w:rPr>
              <w:t>5</w:t>
            </w:r>
            <w:r>
              <w:rPr>
                <w:rFonts w:hint="eastAsia" w:ascii="Times New Roma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jc w:val="center"/>
              <w:rPr>
                <w:rFonts w:ascii="仿宋_GB2312" w:eastAsia="仿宋_GB2312"/>
                <w:sz w:val="24"/>
              </w:rPr>
            </w:pPr>
            <w:r>
              <w:rPr>
                <w:rFonts w:hint="eastAsia" w:ascii="Times New Roman"/>
              </w:rPr>
              <w:t>闫文俊</w:t>
            </w:r>
          </w:p>
        </w:tc>
        <w:tc>
          <w:tcPr>
            <w:tcW w:w="709" w:type="dxa"/>
            <w:vAlign w:val="center"/>
          </w:tcPr>
          <w:p>
            <w:pPr>
              <w:jc w:val="center"/>
              <w:rPr>
                <w:rFonts w:ascii="Times New Roman"/>
              </w:rPr>
            </w:pPr>
            <w:r>
              <w:rPr>
                <w:rFonts w:hint="eastAsia" w:ascii="Times New Roman"/>
              </w:rPr>
              <w:t>第二</w:t>
            </w:r>
          </w:p>
        </w:tc>
        <w:tc>
          <w:tcPr>
            <w:tcW w:w="1134" w:type="dxa"/>
            <w:vAlign w:val="center"/>
          </w:tcPr>
          <w:p>
            <w:pPr>
              <w:jc w:val="center"/>
              <w:rPr>
                <w:rFonts w:ascii="Times New Roman"/>
              </w:rPr>
            </w:pPr>
            <w:r>
              <w:rPr>
                <w:rFonts w:hint="eastAsia" w:ascii="Times New Roman"/>
              </w:rPr>
              <w:t>无</w:t>
            </w:r>
          </w:p>
        </w:tc>
        <w:tc>
          <w:tcPr>
            <w:tcW w:w="1134" w:type="dxa"/>
            <w:vAlign w:val="center"/>
          </w:tcPr>
          <w:p>
            <w:pPr>
              <w:rPr>
                <w:rFonts w:ascii="仿宋_GB2312" w:eastAsia="仿宋_GB2312"/>
                <w:sz w:val="24"/>
              </w:rPr>
            </w:pPr>
            <w:r>
              <w:rPr>
                <w:rFonts w:hint="eastAsia" w:ascii="Times New Roman"/>
              </w:rPr>
              <w:t>副教授</w:t>
            </w:r>
          </w:p>
        </w:tc>
        <w:tc>
          <w:tcPr>
            <w:tcW w:w="1134" w:type="dxa"/>
            <w:vAlign w:val="center"/>
          </w:tcPr>
          <w:p>
            <w:pPr>
              <w:rPr>
                <w:rFonts w:ascii="仿宋_GB2312" w:eastAsia="仿宋_GB2312"/>
                <w:sz w:val="24"/>
              </w:rPr>
            </w:pPr>
            <w:r>
              <w:rPr>
                <w:rFonts w:hint="eastAsia" w:ascii="Times New Roman"/>
              </w:rPr>
              <w:t>中国人民解放军</w:t>
            </w:r>
            <w:r>
              <w:rPr>
                <w:rFonts w:ascii="Times New Roman"/>
              </w:rPr>
              <w:t>空军军医大学</w:t>
            </w:r>
          </w:p>
        </w:tc>
        <w:tc>
          <w:tcPr>
            <w:tcW w:w="1134" w:type="dxa"/>
            <w:vAlign w:val="center"/>
          </w:tcPr>
          <w:p>
            <w:pPr>
              <w:rPr>
                <w:rFonts w:ascii="仿宋_GB2312" w:eastAsia="仿宋_GB2312"/>
                <w:sz w:val="24"/>
              </w:rPr>
            </w:pPr>
            <w:r>
              <w:rPr>
                <w:rFonts w:hint="eastAsia" w:ascii="Times New Roman"/>
              </w:rPr>
              <w:t>中国人民解放军</w:t>
            </w:r>
            <w:r>
              <w:rPr>
                <w:rFonts w:ascii="Times New Roman"/>
              </w:rPr>
              <w:t>空军军医大学</w:t>
            </w:r>
          </w:p>
        </w:tc>
        <w:tc>
          <w:tcPr>
            <w:tcW w:w="3119" w:type="dxa"/>
            <w:vAlign w:val="center"/>
          </w:tcPr>
          <w:p>
            <w:pPr>
              <w:pStyle w:val="3"/>
              <w:spacing w:line="360" w:lineRule="exact"/>
              <w:ind w:firstLine="420"/>
              <w:rPr>
                <w:rFonts w:ascii="Times New Roman"/>
                <w:sz w:val="21"/>
              </w:rPr>
            </w:pPr>
            <w:r>
              <w:rPr>
                <w:rFonts w:hint="eastAsia" w:ascii="Times New Roman"/>
                <w:sz w:val="21"/>
              </w:rPr>
              <w:t>参与本项目部分工作，主要贡献是科技创新1、3，如下：</w:t>
            </w:r>
          </w:p>
          <w:p>
            <w:pPr>
              <w:pStyle w:val="3"/>
              <w:spacing w:line="360" w:lineRule="exact"/>
              <w:ind w:firstLine="0" w:firstLineChars="0"/>
              <w:rPr>
                <w:rFonts w:ascii="Times New Roman"/>
                <w:sz w:val="21"/>
              </w:rPr>
            </w:pPr>
            <w:r>
              <w:rPr>
                <w:rFonts w:hint="eastAsia" w:ascii="Times New Roman"/>
                <w:sz w:val="21"/>
              </w:rPr>
              <w:t>1、首次阐明了脂联素-AMPK信号受损是2型糖尿病（T2DM）小鼠支链氨基酸（BCAA）分解代谢障碍和病理性积聚的重要原因，BCAA通过促进肝脏Akt2泛素化降解导致胰岛素抵抗和器官损伤，揭示了T2DM与BCAA代谢障碍之间的恶性循环。</w:t>
            </w:r>
          </w:p>
          <w:p>
            <w:pPr>
              <w:pStyle w:val="3"/>
              <w:spacing w:line="360" w:lineRule="exact"/>
              <w:ind w:firstLine="0" w:firstLineChars="0"/>
              <w:rPr>
                <w:rFonts w:ascii="Times New Roman"/>
                <w:sz w:val="21"/>
              </w:rPr>
            </w:pPr>
            <w:r>
              <w:rPr>
                <w:rFonts w:hint="eastAsia" w:ascii="Times New Roman"/>
                <w:sz w:val="21"/>
              </w:rPr>
              <w:t>3、发现了增强脂联素/脂联素受体通路、增强BCAA分解代谢酶活性等小分子化合物/调节因子，直接促进了BCAA的分解代谢，显著减轻了代谢紊乱和心肌损伤。</w:t>
            </w:r>
          </w:p>
          <w:p>
            <w:pPr>
              <w:ind w:firstLine="420" w:firstLineChars="200"/>
              <w:rPr>
                <w:rFonts w:ascii="仿宋_GB2312" w:eastAsia="仿宋_GB2312"/>
                <w:sz w:val="24"/>
              </w:rPr>
            </w:pPr>
            <w:r>
              <w:rPr>
                <w:rFonts w:hint="eastAsia" w:ascii="Times New Roman"/>
              </w:rPr>
              <w:t>本项目工作占本人工作量的</w:t>
            </w:r>
            <w:r>
              <w:rPr>
                <w:rFonts w:ascii="Times New Roman"/>
              </w:rPr>
              <w:t>5</w:t>
            </w:r>
            <w:r>
              <w:rPr>
                <w:rFonts w:hint="eastAsia" w:ascii="Times New Roman"/>
              </w:rPr>
              <w:t>0%，作为第一作者（含共同）发表代表性论著</w:t>
            </w:r>
            <w:r>
              <w:rPr>
                <w:rFonts w:ascii="Times New Roman"/>
              </w:rPr>
              <w:t>2</w:t>
            </w:r>
            <w:r>
              <w:rPr>
                <w:rFonts w:hint="eastAsia" w:ascii="Times New Roman"/>
              </w:rPr>
              <w:t>、</w:t>
            </w:r>
            <w:r>
              <w:rPr>
                <w:rFonts w:ascii="Times New Roman"/>
              </w:rPr>
              <w:t>5</w:t>
            </w:r>
            <w:r>
              <w:rPr>
                <w:rFonts w:hint="eastAsia" w:ascii="Times New Roman"/>
              </w:rPr>
              <w:t>，作为共同作者发表代表性论著1、</w:t>
            </w:r>
            <w:r>
              <w:rPr>
                <w:rFonts w:ascii="Times New Roman"/>
              </w:rPr>
              <w:t>4</w:t>
            </w:r>
            <w:r>
              <w:rPr>
                <w:rFonts w:hint="eastAsia" w:ascii="Times New Roma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jc w:val="center"/>
              <w:rPr>
                <w:rFonts w:ascii="Times New Roman"/>
              </w:rPr>
            </w:pPr>
            <w:r>
              <w:rPr>
                <w:rFonts w:hint="eastAsia" w:ascii="Times New Roman"/>
              </w:rPr>
              <w:t>孙海鹏</w:t>
            </w:r>
          </w:p>
        </w:tc>
        <w:tc>
          <w:tcPr>
            <w:tcW w:w="709" w:type="dxa"/>
            <w:vAlign w:val="center"/>
          </w:tcPr>
          <w:p>
            <w:pPr>
              <w:jc w:val="center"/>
              <w:rPr>
                <w:rFonts w:ascii="Times New Roman"/>
              </w:rPr>
            </w:pPr>
            <w:r>
              <w:rPr>
                <w:rFonts w:hint="eastAsia" w:ascii="Times New Roman"/>
              </w:rPr>
              <w:t>第三</w:t>
            </w:r>
          </w:p>
        </w:tc>
        <w:tc>
          <w:tcPr>
            <w:tcW w:w="1134" w:type="dxa"/>
            <w:vAlign w:val="center"/>
          </w:tcPr>
          <w:p>
            <w:pPr>
              <w:jc w:val="center"/>
              <w:rPr>
                <w:rFonts w:ascii="Times New Roman"/>
              </w:rPr>
            </w:pPr>
            <w:r>
              <w:rPr>
                <w:rFonts w:hint="eastAsia" w:ascii="Times New Roman"/>
              </w:rPr>
              <w:t>副所长</w:t>
            </w:r>
          </w:p>
        </w:tc>
        <w:tc>
          <w:tcPr>
            <w:tcW w:w="1134" w:type="dxa"/>
            <w:vAlign w:val="center"/>
          </w:tcPr>
          <w:p>
            <w:pPr>
              <w:rPr>
                <w:rFonts w:ascii="仿宋_GB2312" w:eastAsia="仿宋_GB2312"/>
                <w:sz w:val="24"/>
              </w:rPr>
            </w:pPr>
            <w:r>
              <w:rPr>
                <w:rFonts w:hint="eastAsia" w:ascii="Times New Roman"/>
              </w:rPr>
              <w:t>研究员</w:t>
            </w:r>
          </w:p>
        </w:tc>
        <w:tc>
          <w:tcPr>
            <w:tcW w:w="1134" w:type="dxa"/>
            <w:vAlign w:val="center"/>
          </w:tcPr>
          <w:p>
            <w:pPr>
              <w:rPr>
                <w:rFonts w:ascii="仿宋_GB2312" w:eastAsia="仿宋_GB2312"/>
                <w:sz w:val="24"/>
              </w:rPr>
            </w:pPr>
            <w:r>
              <w:rPr>
                <w:rFonts w:hint="eastAsia" w:ascii="Times New Roman"/>
              </w:rPr>
              <w:t>天津医科大学朱宪彝纪念医院</w:t>
            </w:r>
          </w:p>
        </w:tc>
        <w:tc>
          <w:tcPr>
            <w:tcW w:w="1134" w:type="dxa"/>
            <w:vAlign w:val="center"/>
          </w:tcPr>
          <w:p>
            <w:pPr>
              <w:rPr>
                <w:rFonts w:ascii="仿宋_GB2312" w:eastAsia="仿宋_GB2312"/>
                <w:sz w:val="24"/>
              </w:rPr>
            </w:pPr>
            <w:r>
              <w:rPr>
                <w:rFonts w:hint="eastAsia" w:ascii="Times New Roman"/>
              </w:rPr>
              <w:t>上海交通大学医学院</w:t>
            </w:r>
          </w:p>
        </w:tc>
        <w:tc>
          <w:tcPr>
            <w:tcW w:w="3119" w:type="dxa"/>
            <w:vAlign w:val="center"/>
          </w:tcPr>
          <w:p>
            <w:pPr>
              <w:pStyle w:val="3"/>
              <w:spacing w:line="360" w:lineRule="exact"/>
              <w:ind w:firstLine="420"/>
              <w:rPr>
                <w:rFonts w:ascii="Times New Roman"/>
                <w:sz w:val="21"/>
              </w:rPr>
            </w:pPr>
            <w:r>
              <w:rPr>
                <w:rFonts w:hint="eastAsia" w:ascii="Times New Roman"/>
                <w:sz w:val="21"/>
              </w:rPr>
              <w:t>参与本项目部分工作，主要贡献是科技创新1、2和3，如下：</w:t>
            </w:r>
          </w:p>
          <w:p>
            <w:pPr>
              <w:pStyle w:val="3"/>
              <w:spacing w:line="360" w:lineRule="exact"/>
              <w:ind w:firstLine="420"/>
              <w:rPr>
                <w:rFonts w:ascii="Times New Roman"/>
                <w:sz w:val="21"/>
              </w:rPr>
            </w:pPr>
            <w:r>
              <w:rPr>
                <w:rFonts w:hint="eastAsia" w:ascii="Times New Roman"/>
                <w:sz w:val="21"/>
              </w:rPr>
              <w:t>1、发现了2型糖尿病患者的支链氨基酸（BCAA）分解代谢相关基因存在显著改变，是导致BCAA蓄积的原因。</w:t>
            </w:r>
          </w:p>
          <w:p>
            <w:pPr>
              <w:pStyle w:val="3"/>
              <w:spacing w:line="360" w:lineRule="exact"/>
              <w:ind w:firstLine="420"/>
              <w:rPr>
                <w:rFonts w:ascii="Times New Roman"/>
                <w:sz w:val="21"/>
              </w:rPr>
            </w:pPr>
            <w:r>
              <w:rPr>
                <w:rFonts w:ascii="Times New Roman"/>
                <w:sz w:val="21"/>
              </w:rPr>
              <w:t>2</w:t>
            </w:r>
            <w:r>
              <w:rPr>
                <w:rFonts w:hint="eastAsia" w:ascii="Times New Roman"/>
                <w:sz w:val="21"/>
              </w:rPr>
              <w:t>、解析了衰竭心肌代谢特征，发现BCAA蓄积导致心肌损伤和心脏重构的现象，并阐明其分子机制，提出“支链氨基酸损伤”学说。</w:t>
            </w:r>
          </w:p>
          <w:p>
            <w:pPr>
              <w:pStyle w:val="3"/>
              <w:spacing w:line="360" w:lineRule="exact"/>
              <w:ind w:firstLine="420"/>
              <w:rPr>
                <w:rFonts w:ascii="Times New Roman"/>
                <w:sz w:val="21"/>
              </w:rPr>
            </w:pPr>
            <w:r>
              <w:rPr>
                <w:rFonts w:hint="eastAsia" w:ascii="Times New Roman"/>
                <w:sz w:val="21"/>
              </w:rPr>
              <w:t>3、发现了1种增强BCAA分解代谢酶活性的小分子化合物，显著减轻了代谢紊乱和心肌损伤。</w:t>
            </w:r>
          </w:p>
          <w:p>
            <w:pPr>
              <w:ind w:firstLine="420" w:firstLineChars="200"/>
              <w:rPr>
                <w:rFonts w:ascii="仿宋_GB2312" w:eastAsia="仿宋_GB2312"/>
                <w:sz w:val="24"/>
              </w:rPr>
            </w:pPr>
            <w:r>
              <w:rPr>
                <w:rFonts w:hint="eastAsia" w:ascii="Times New Roman"/>
              </w:rPr>
              <w:t>本项目工作占本人工作量的</w:t>
            </w:r>
            <w:r>
              <w:rPr>
                <w:rFonts w:ascii="Times New Roman"/>
              </w:rPr>
              <w:t>5</w:t>
            </w:r>
            <w:r>
              <w:rPr>
                <w:rFonts w:hint="eastAsia" w:ascii="Times New Roman"/>
              </w:rPr>
              <w:t>0%，作为第一作者发表代表性论著</w:t>
            </w:r>
            <w:r>
              <w:rPr>
                <w:rFonts w:ascii="Times New Roman"/>
              </w:rPr>
              <w:t>3</w:t>
            </w:r>
            <w:r>
              <w:rPr>
                <w:rFonts w:hint="eastAsia" w:ascii="Times New Roma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jc w:val="center"/>
              <w:rPr>
                <w:rFonts w:ascii="Times New Roman"/>
              </w:rPr>
            </w:pPr>
            <w:r>
              <w:rPr>
                <w:rFonts w:hint="eastAsia" w:ascii="Times New Roman"/>
              </w:rPr>
              <w:t>张富洋</w:t>
            </w:r>
          </w:p>
        </w:tc>
        <w:tc>
          <w:tcPr>
            <w:tcW w:w="709" w:type="dxa"/>
            <w:vAlign w:val="center"/>
          </w:tcPr>
          <w:p>
            <w:pPr>
              <w:jc w:val="center"/>
              <w:rPr>
                <w:rFonts w:ascii="Times New Roman"/>
              </w:rPr>
            </w:pPr>
            <w:r>
              <w:rPr>
                <w:rFonts w:hint="eastAsia" w:ascii="Times New Roman"/>
              </w:rPr>
              <w:t>第四</w:t>
            </w:r>
          </w:p>
        </w:tc>
        <w:tc>
          <w:tcPr>
            <w:tcW w:w="1134" w:type="dxa"/>
            <w:vAlign w:val="center"/>
          </w:tcPr>
          <w:p>
            <w:pPr>
              <w:jc w:val="center"/>
              <w:rPr>
                <w:rFonts w:ascii="Times New Roman"/>
              </w:rPr>
            </w:pPr>
            <w:r>
              <w:rPr>
                <w:rFonts w:hint="eastAsia" w:ascii="Times New Roman"/>
              </w:rPr>
              <w:t>无</w:t>
            </w:r>
          </w:p>
        </w:tc>
        <w:tc>
          <w:tcPr>
            <w:tcW w:w="1134" w:type="dxa"/>
            <w:vAlign w:val="center"/>
          </w:tcPr>
          <w:p>
            <w:pPr>
              <w:rPr>
                <w:rFonts w:ascii="仿宋_GB2312" w:eastAsia="仿宋_GB2312"/>
                <w:sz w:val="24"/>
              </w:rPr>
            </w:pPr>
            <w:r>
              <w:rPr>
                <w:rFonts w:hint="eastAsia" w:ascii="Times New Roman"/>
              </w:rPr>
              <w:t>副主任医师</w:t>
            </w:r>
          </w:p>
        </w:tc>
        <w:tc>
          <w:tcPr>
            <w:tcW w:w="1134" w:type="dxa"/>
            <w:vAlign w:val="center"/>
          </w:tcPr>
          <w:p>
            <w:pPr>
              <w:rPr>
                <w:rFonts w:ascii="仿宋_GB2312" w:eastAsia="仿宋_GB2312"/>
                <w:sz w:val="24"/>
              </w:rPr>
            </w:pPr>
            <w:r>
              <w:rPr>
                <w:rFonts w:hint="eastAsia" w:ascii="Times New Roman"/>
              </w:rPr>
              <w:t>中国人民解放军</w:t>
            </w:r>
            <w:r>
              <w:rPr>
                <w:rFonts w:ascii="Times New Roman"/>
              </w:rPr>
              <w:t>空军军医大学</w:t>
            </w:r>
          </w:p>
        </w:tc>
        <w:tc>
          <w:tcPr>
            <w:tcW w:w="1134" w:type="dxa"/>
            <w:vAlign w:val="center"/>
          </w:tcPr>
          <w:p>
            <w:pPr>
              <w:rPr>
                <w:rFonts w:ascii="仿宋_GB2312" w:eastAsia="仿宋_GB2312"/>
                <w:sz w:val="24"/>
              </w:rPr>
            </w:pPr>
            <w:r>
              <w:rPr>
                <w:rFonts w:hint="eastAsia" w:ascii="Times New Roman"/>
              </w:rPr>
              <w:t>中国人民解放军</w:t>
            </w:r>
            <w:r>
              <w:rPr>
                <w:rFonts w:ascii="Times New Roman"/>
              </w:rPr>
              <w:t>空军军医大学</w:t>
            </w:r>
          </w:p>
        </w:tc>
        <w:tc>
          <w:tcPr>
            <w:tcW w:w="3119" w:type="dxa"/>
            <w:vAlign w:val="center"/>
          </w:tcPr>
          <w:p>
            <w:pPr>
              <w:pStyle w:val="3"/>
              <w:spacing w:line="360" w:lineRule="exact"/>
              <w:ind w:firstLine="420"/>
              <w:rPr>
                <w:rFonts w:ascii="Times New Roman"/>
                <w:sz w:val="21"/>
              </w:rPr>
            </w:pPr>
            <w:r>
              <w:rPr>
                <w:rFonts w:hint="eastAsia" w:ascii="Times New Roman"/>
                <w:sz w:val="21"/>
              </w:rPr>
              <w:t>参与本项目部分工作，主要贡献是科技创新1、2、3，如下：</w:t>
            </w:r>
          </w:p>
          <w:p>
            <w:pPr>
              <w:pStyle w:val="3"/>
              <w:spacing w:line="360" w:lineRule="exact"/>
              <w:ind w:firstLine="0" w:firstLineChars="0"/>
              <w:rPr>
                <w:rFonts w:ascii="Times New Roman"/>
                <w:sz w:val="21"/>
              </w:rPr>
            </w:pPr>
            <w:r>
              <w:rPr>
                <w:rFonts w:hint="eastAsia" w:ascii="Times New Roman"/>
                <w:sz w:val="21"/>
              </w:rPr>
              <w:t>1、发现支链氨基酸（BCAA）通过促进肝脏Akt2泛素化降解导致胰岛素抵抗和器官损伤，揭示了2型糖尿病（T2DM）与BCAA代谢障碍之间的恶性循环。</w:t>
            </w:r>
          </w:p>
          <w:p>
            <w:pPr>
              <w:pStyle w:val="3"/>
              <w:spacing w:line="360" w:lineRule="exact"/>
              <w:ind w:firstLine="0" w:firstLineChars="0"/>
              <w:rPr>
                <w:rFonts w:ascii="Times New Roman"/>
                <w:sz w:val="21"/>
              </w:rPr>
            </w:pPr>
            <w:r>
              <w:rPr>
                <w:rFonts w:ascii="Times New Roman"/>
                <w:sz w:val="21"/>
              </w:rPr>
              <w:t>2</w:t>
            </w:r>
            <w:r>
              <w:rPr>
                <w:rFonts w:hint="eastAsia" w:ascii="Times New Roman"/>
                <w:sz w:val="21"/>
              </w:rPr>
              <w:t>、解析了衰竭心肌代谢特征，发现BCAA蓄积导致心肌损伤和心脏重构的现象，并阐明其分子机制，提出“支链氨基酸损伤”学说。</w:t>
            </w:r>
          </w:p>
          <w:p>
            <w:pPr>
              <w:pStyle w:val="3"/>
              <w:spacing w:line="360" w:lineRule="exact"/>
              <w:ind w:firstLine="0" w:firstLineChars="0"/>
              <w:rPr>
                <w:rFonts w:ascii="Times New Roman"/>
                <w:sz w:val="21"/>
              </w:rPr>
            </w:pPr>
            <w:r>
              <w:rPr>
                <w:rFonts w:hint="eastAsia" w:ascii="Times New Roman"/>
                <w:sz w:val="21"/>
              </w:rPr>
              <w:t>3、发现了增强脂联素/脂联素受体通路、增强BCAA分解代谢酶活性等</w:t>
            </w:r>
            <w:r>
              <w:rPr>
                <w:rFonts w:ascii="Times New Roman"/>
                <w:sz w:val="21"/>
              </w:rPr>
              <w:t>2</w:t>
            </w:r>
            <w:r>
              <w:rPr>
                <w:rFonts w:hint="eastAsia" w:ascii="Times New Roman"/>
                <w:sz w:val="21"/>
              </w:rPr>
              <w:t>种小分子化合物，直接促进了BCAA的分解代谢，显著减轻了代谢紊乱和心肌损伤。</w:t>
            </w:r>
          </w:p>
          <w:p>
            <w:pPr>
              <w:ind w:firstLine="420" w:firstLineChars="200"/>
              <w:rPr>
                <w:rFonts w:ascii="仿宋_GB2312" w:eastAsia="仿宋_GB2312"/>
                <w:sz w:val="24"/>
              </w:rPr>
            </w:pPr>
            <w:r>
              <w:rPr>
                <w:rFonts w:hint="eastAsia" w:ascii="Times New Roman"/>
              </w:rPr>
              <w:t>本项目工作占本人工作量的</w:t>
            </w:r>
            <w:r>
              <w:rPr>
                <w:rFonts w:ascii="Times New Roman"/>
              </w:rPr>
              <w:t>5</w:t>
            </w:r>
            <w:r>
              <w:rPr>
                <w:rFonts w:hint="eastAsia" w:ascii="Times New Roman"/>
              </w:rPr>
              <w:t>0%，作为第一作者（含共同）发表代表性论著</w:t>
            </w:r>
            <w:r>
              <w:rPr>
                <w:rFonts w:ascii="Times New Roman"/>
              </w:rPr>
              <w:t>2</w:t>
            </w:r>
            <w:r>
              <w:rPr>
                <w:rFonts w:hint="eastAsia" w:ascii="Times New Roman"/>
              </w:rPr>
              <w:t>、4，作为共同作者发表代表性论著</w:t>
            </w:r>
            <w:r>
              <w:rPr>
                <w:rFonts w:ascii="Times New Roman"/>
              </w:rPr>
              <w:t>5</w:t>
            </w:r>
            <w:r>
              <w:rPr>
                <w:rFonts w:hint="eastAsia" w:ascii="Times New Roman"/>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jc w:val="center"/>
              <w:rPr>
                <w:rFonts w:ascii="Times New Roman"/>
              </w:rPr>
            </w:pPr>
            <w:r>
              <w:rPr>
                <w:rFonts w:hint="eastAsia" w:ascii="Times New Roman"/>
              </w:rPr>
              <w:t>廉坤</w:t>
            </w:r>
          </w:p>
        </w:tc>
        <w:tc>
          <w:tcPr>
            <w:tcW w:w="709" w:type="dxa"/>
            <w:vAlign w:val="center"/>
          </w:tcPr>
          <w:p>
            <w:pPr>
              <w:jc w:val="center"/>
              <w:rPr>
                <w:rFonts w:ascii="Times New Roman"/>
              </w:rPr>
            </w:pPr>
            <w:r>
              <w:rPr>
                <w:rFonts w:hint="eastAsia" w:ascii="Times New Roman"/>
              </w:rPr>
              <w:t>第五</w:t>
            </w:r>
          </w:p>
        </w:tc>
        <w:tc>
          <w:tcPr>
            <w:tcW w:w="1134" w:type="dxa"/>
            <w:vAlign w:val="center"/>
          </w:tcPr>
          <w:p>
            <w:pPr>
              <w:jc w:val="center"/>
              <w:rPr>
                <w:rFonts w:ascii="Times New Roman"/>
              </w:rPr>
            </w:pPr>
            <w:r>
              <w:rPr>
                <w:rFonts w:hint="eastAsia" w:ascii="Times New Roman"/>
              </w:rPr>
              <w:t>无</w:t>
            </w:r>
          </w:p>
        </w:tc>
        <w:tc>
          <w:tcPr>
            <w:tcW w:w="1134" w:type="dxa"/>
            <w:vAlign w:val="center"/>
          </w:tcPr>
          <w:p>
            <w:pPr>
              <w:rPr>
                <w:rFonts w:ascii="仿宋_GB2312" w:eastAsia="仿宋_GB2312"/>
                <w:sz w:val="24"/>
              </w:rPr>
            </w:pPr>
            <w:r>
              <w:rPr>
                <w:rFonts w:hint="eastAsia" w:ascii="Times New Roman"/>
              </w:rPr>
              <w:t>副教授</w:t>
            </w:r>
          </w:p>
        </w:tc>
        <w:tc>
          <w:tcPr>
            <w:tcW w:w="1134" w:type="dxa"/>
            <w:vAlign w:val="center"/>
          </w:tcPr>
          <w:p>
            <w:pPr>
              <w:rPr>
                <w:rFonts w:ascii="仿宋_GB2312" w:eastAsia="仿宋_GB2312"/>
                <w:sz w:val="24"/>
              </w:rPr>
            </w:pPr>
            <w:r>
              <w:rPr>
                <w:rFonts w:hint="eastAsia" w:ascii="Times New Roman"/>
              </w:rPr>
              <w:t>中国人民解放军</w:t>
            </w:r>
            <w:r>
              <w:rPr>
                <w:rFonts w:ascii="Times New Roman"/>
              </w:rPr>
              <w:t>空军军医大学</w:t>
            </w:r>
          </w:p>
        </w:tc>
        <w:tc>
          <w:tcPr>
            <w:tcW w:w="1134" w:type="dxa"/>
            <w:vAlign w:val="center"/>
          </w:tcPr>
          <w:p>
            <w:pPr>
              <w:rPr>
                <w:rFonts w:ascii="仿宋_GB2312" w:eastAsia="仿宋_GB2312"/>
                <w:sz w:val="24"/>
              </w:rPr>
            </w:pPr>
            <w:r>
              <w:rPr>
                <w:rFonts w:hint="eastAsia" w:ascii="Times New Roman"/>
              </w:rPr>
              <w:t>中国人民解放军</w:t>
            </w:r>
            <w:r>
              <w:rPr>
                <w:rFonts w:ascii="Times New Roman"/>
              </w:rPr>
              <w:t>空军军医大学</w:t>
            </w:r>
          </w:p>
        </w:tc>
        <w:tc>
          <w:tcPr>
            <w:tcW w:w="3119" w:type="dxa"/>
            <w:vAlign w:val="center"/>
          </w:tcPr>
          <w:p>
            <w:pPr>
              <w:pStyle w:val="3"/>
              <w:spacing w:line="360" w:lineRule="exact"/>
              <w:ind w:firstLine="420"/>
              <w:rPr>
                <w:rFonts w:ascii="Times New Roman"/>
                <w:sz w:val="21"/>
              </w:rPr>
            </w:pPr>
            <w:r>
              <w:rPr>
                <w:rFonts w:hint="eastAsia" w:ascii="Times New Roman"/>
                <w:sz w:val="21"/>
              </w:rPr>
              <w:t>参与本项目部分工作，主要贡献是科技创新1，如下：</w:t>
            </w:r>
          </w:p>
          <w:p>
            <w:pPr>
              <w:pStyle w:val="3"/>
              <w:spacing w:line="360" w:lineRule="exact"/>
              <w:ind w:firstLine="0" w:firstLineChars="0"/>
              <w:rPr>
                <w:rFonts w:ascii="Times New Roman"/>
                <w:sz w:val="21"/>
              </w:rPr>
            </w:pPr>
            <w:r>
              <w:rPr>
                <w:rFonts w:hint="eastAsia" w:ascii="Times New Roman"/>
                <w:sz w:val="21"/>
              </w:rPr>
              <w:t>1、首次阐明了脂联素-AMPK信号受损是2型糖尿病（T2DM）小鼠支链氨基酸（BCAA）分解代谢障碍和病理性积聚的重要原因，BCAA通过促进肝脏Akt2泛素化降解导致胰岛素抵抗和器官损伤，揭示了T2DM与BCAA代谢障碍之间的恶性循环。</w:t>
            </w:r>
          </w:p>
          <w:p>
            <w:pPr>
              <w:ind w:firstLine="420" w:firstLineChars="200"/>
              <w:rPr>
                <w:rFonts w:ascii="仿宋_GB2312" w:eastAsia="仿宋_GB2312"/>
                <w:sz w:val="24"/>
              </w:rPr>
            </w:pPr>
            <w:r>
              <w:rPr>
                <w:rFonts w:hint="eastAsia" w:ascii="Times New Roman"/>
              </w:rPr>
              <w:t>本项目工作占本人工作量的</w:t>
            </w:r>
            <w:r>
              <w:rPr>
                <w:rFonts w:ascii="Times New Roman"/>
              </w:rPr>
              <w:t>5</w:t>
            </w:r>
            <w:r>
              <w:rPr>
                <w:rFonts w:hint="eastAsia" w:ascii="Times New Roman"/>
              </w:rPr>
              <w:t>0%，作为第一作者发表代表性论著</w:t>
            </w:r>
            <w:r>
              <w:rPr>
                <w:rFonts w:ascii="Times New Roman"/>
              </w:rPr>
              <w:t>1</w:t>
            </w:r>
            <w:r>
              <w:rPr>
                <w:rFonts w:hint="eastAsia" w:ascii="Times New Roman"/>
              </w:rPr>
              <w:t>，作为共同作者发表代表性论著2。</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675" w:type="dxa"/>
            <w:vAlign w:val="center"/>
          </w:tcPr>
          <w:p>
            <w:pPr>
              <w:jc w:val="center"/>
              <w:rPr>
                <w:rFonts w:ascii="Times New Roman"/>
              </w:rPr>
            </w:pPr>
            <w:r>
              <w:rPr>
                <w:rFonts w:hint="eastAsia" w:ascii="Times New Roman"/>
              </w:rPr>
              <w:t>王姗</w:t>
            </w:r>
          </w:p>
        </w:tc>
        <w:tc>
          <w:tcPr>
            <w:tcW w:w="709" w:type="dxa"/>
            <w:vAlign w:val="center"/>
          </w:tcPr>
          <w:p>
            <w:pPr>
              <w:jc w:val="center"/>
              <w:rPr>
                <w:rFonts w:ascii="Times New Roman"/>
              </w:rPr>
            </w:pPr>
            <w:r>
              <w:rPr>
                <w:rFonts w:hint="eastAsia" w:ascii="Times New Roman"/>
              </w:rPr>
              <w:t>第六</w:t>
            </w:r>
          </w:p>
        </w:tc>
        <w:tc>
          <w:tcPr>
            <w:tcW w:w="1134" w:type="dxa"/>
            <w:vAlign w:val="center"/>
          </w:tcPr>
          <w:p>
            <w:pPr>
              <w:jc w:val="center"/>
              <w:rPr>
                <w:rFonts w:ascii="Times New Roman"/>
              </w:rPr>
            </w:pPr>
            <w:r>
              <w:rPr>
                <w:rFonts w:hint="eastAsia" w:ascii="Times New Roman"/>
              </w:rPr>
              <w:t>无</w:t>
            </w:r>
          </w:p>
        </w:tc>
        <w:tc>
          <w:tcPr>
            <w:tcW w:w="1134" w:type="dxa"/>
            <w:vAlign w:val="center"/>
          </w:tcPr>
          <w:p>
            <w:pPr>
              <w:rPr>
                <w:rFonts w:ascii="仿宋_GB2312" w:eastAsia="仿宋_GB2312"/>
                <w:sz w:val="24"/>
              </w:rPr>
            </w:pPr>
            <w:r>
              <w:rPr>
                <w:rFonts w:hint="eastAsia" w:ascii="Times New Roman"/>
              </w:rPr>
              <w:t>副研究员</w:t>
            </w:r>
          </w:p>
        </w:tc>
        <w:tc>
          <w:tcPr>
            <w:tcW w:w="1134" w:type="dxa"/>
            <w:vAlign w:val="center"/>
          </w:tcPr>
          <w:p>
            <w:pPr>
              <w:rPr>
                <w:rFonts w:ascii="仿宋_GB2312" w:eastAsia="仿宋_GB2312"/>
                <w:sz w:val="24"/>
              </w:rPr>
            </w:pPr>
            <w:r>
              <w:rPr>
                <w:rFonts w:hint="eastAsia" w:ascii="Times New Roman"/>
              </w:rPr>
              <w:t>中国人民解放军</w:t>
            </w:r>
            <w:r>
              <w:rPr>
                <w:rFonts w:ascii="Times New Roman"/>
              </w:rPr>
              <w:t>空军军医大学</w:t>
            </w:r>
          </w:p>
        </w:tc>
        <w:tc>
          <w:tcPr>
            <w:tcW w:w="1134" w:type="dxa"/>
            <w:vAlign w:val="center"/>
          </w:tcPr>
          <w:p>
            <w:pPr>
              <w:rPr>
                <w:rFonts w:ascii="仿宋_GB2312" w:eastAsia="仿宋_GB2312"/>
                <w:sz w:val="24"/>
              </w:rPr>
            </w:pPr>
            <w:r>
              <w:rPr>
                <w:rFonts w:hint="eastAsia" w:ascii="Times New Roman"/>
              </w:rPr>
              <w:t>中国人民解放军</w:t>
            </w:r>
            <w:r>
              <w:rPr>
                <w:rFonts w:ascii="Times New Roman"/>
              </w:rPr>
              <w:t>空军军医大学</w:t>
            </w:r>
          </w:p>
        </w:tc>
        <w:tc>
          <w:tcPr>
            <w:tcW w:w="3119" w:type="dxa"/>
            <w:vAlign w:val="center"/>
          </w:tcPr>
          <w:p>
            <w:pPr>
              <w:pStyle w:val="3"/>
              <w:spacing w:line="360" w:lineRule="exact"/>
              <w:ind w:firstLine="420"/>
              <w:rPr>
                <w:rFonts w:ascii="Times New Roman"/>
                <w:sz w:val="21"/>
              </w:rPr>
            </w:pPr>
            <w:r>
              <w:rPr>
                <w:rFonts w:hint="eastAsia" w:ascii="Times New Roman"/>
                <w:sz w:val="21"/>
              </w:rPr>
              <w:t>参与本项目部分工作，主要贡献是科技创新1，如下：</w:t>
            </w:r>
          </w:p>
          <w:p>
            <w:pPr>
              <w:pStyle w:val="3"/>
              <w:spacing w:line="360" w:lineRule="exact"/>
              <w:ind w:firstLine="0" w:firstLineChars="0"/>
              <w:rPr>
                <w:rFonts w:ascii="Times New Roman"/>
                <w:sz w:val="21"/>
              </w:rPr>
            </w:pPr>
            <w:r>
              <w:rPr>
                <w:rFonts w:hint="eastAsia" w:ascii="Times New Roman"/>
                <w:sz w:val="21"/>
              </w:rPr>
              <w:t>1、发现支链氨基酸（BCAA）通过促进肝脏Akt2泛素化降解导致胰岛素抵抗和器官损伤，揭示了2型糖尿病（T2DM）与BCAA代谢障碍之间的恶性循环。</w:t>
            </w:r>
          </w:p>
          <w:p>
            <w:pPr>
              <w:rPr>
                <w:rFonts w:ascii="仿宋_GB2312" w:eastAsia="仿宋_GB2312"/>
                <w:sz w:val="24"/>
              </w:rPr>
            </w:pPr>
            <w:r>
              <w:rPr>
                <w:rFonts w:hint="eastAsia" w:ascii="Times New Roman"/>
              </w:rPr>
              <w:t>本项目工作占本人工作量的</w:t>
            </w:r>
            <w:r>
              <w:rPr>
                <w:rFonts w:ascii="Times New Roman"/>
              </w:rPr>
              <w:t>50</w:t>
            </w:r>
            <w:r>
              <w:rPr>
                <w:rFonts w:hint="eastAsia" w:ascii="Times New Roman"/>
              </w:rPr>
              <w:t>%，作为参与作者发表代表性论著</w:t>
            </w:r>
            <w:r>
              <w:rPr>
                <w:rFonts w:ascii="Times New Roman"/>
              </w:rPr>
              <w:t>4</w:t>
            </w:r>
            <w:r>
              <w:rPr>
                <w:rFonts w:hint="eastAsia" w:ascii="Times New Roman"/>
              </w:rPr>
              <w:t>。</w:t>
            </w:r>
          </w:p>
        </w:tc>
      </w:tr>
    </w:tbl>
    <w:p>
      <w:pPr>
        <w:spacing w:line="340" w:lineRule="exact"/>
        <w:rPr>
          <w:rFonts w:ascii="仿宋_GB2312" w:eastAsia="仿宋_GB2312"/>
          <w:sz w:val="32"/>
        </w:rPr>
      </w:pPr>
    </w:p>
    <w:p>
      <w:pPr>
        <w:spacing w:line="340" w:lineRule="exact"/>
        <w:rPr>
          <w:rFonts w:ascii="仿宋_GB2312" w:eastAsia="仿宋_GB2312"/>
          <w:sz w:val="32"/>
        </w:rPr>
      </w:pPr>
      <w:r>
        <w:rPr>
          <w:rFonts w:hint="eastAsia" w:ascii="仿宋_GB2312" w:eastAsia="仿宋_GB2312"/>
          <w:sz w:val="32"/>
        </w:rPr>
        <w:t>三、主要完成单位</w:t>
      </w:r>
    </w:p>
    <w:p>
      <w:pPr>
        <w:spacing w:line="340" w:lineRule="exact"/>
        <w:rPr>
          <w:rFonts w:ascii="仿宋_GB2312" w:eastAsia="仿宋_GB2312"/>
          <w:sz w:val="32"/>
        </w:rPr>
      </w:pPr>
    </w:p>
    <w:tbl>
      <w:tblPr>
        <w:tblStyle w:val="7"/>
        <w:tblW w:w="9039"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951"/>
        <w:gridCol w:w="1843"/>
        <w:gridCol w:w="5245"/>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jc w:val="center"/>
              <w:rPr>
                <w:rFonts w:ascii="仿宋_GB2312" w:eastAsia="仿宋_GB2312"/>
                <w:szCs w:val="21"/>
              </w:rPr>
            </w:pPr>
            <w:r>
              <w:rPr>
                <w:rFonts w:hint="eastAsia" w:ascii="仿宋_GB2312" w:eastAsia="仿宋_GB2312"/>
                <w:szCs w:val="21"/>
              </w:rPr>
              <w:t>完成单位</w:t>
            </w:r>
          </w:p>
        </w:tc>
        <w:tc>
          <w:tcPr>
            <w:tcW w:w="1843" w:type="dxa"/>
          </w:tcPr>
          <w:p>
            <w:pPr>
              <w:jc w:val="center"/>
              <w:rPr>
                <w:rFonts w:ascii="仿宋_GB2312" w:eastAsia="仿宋_GB2312"/>
                <w:szCs w:val="21"/>
              </w:rPr>
            </w:pPr>
            <w:r>
              <w:rPr>
                <w:rFonts w:hint="eastAsia" w:ascii="仿宋_GB2312" w:eastAsia="仿宋_GB2312"/>
                <w:szCs w:val="21"/>
              </w:rPr>
              <w:t>排名</w:t>
            </w:r>
          </w:p>
        </w:tc>
        <w:tc>
          <w:tcPr>
            <w:tcW w:w="5245" w:type="dxa"/>
          </w:tcPr>
          <w:p>
            <w:pPr>
              <w:jc w:val="center"/>
              <w:rPr>
                <w:rFonts w:ascii="仿宋_GB2312" w:eastAsia="仿宋_GB2312"/>
                <w:szCs w:val="21"/>
              </w:rPr>
            </w:pPr>
            <w:r>
              <w:rPr>
                <w:rFonts w:hint="eastAsia" w:ascii="仿宋_GB2312" w:eastAsia="仿宋_GB2312"/>
                <w:szCs w:val="21"/>
              </w:rPr>
              <w:t>创新推广贡献</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vAlign w:val="center"/>
          </w:tcPr>
          <w:p>
            <w:pPr>
              <w:jc w:val="center"/>
              <w:rPr>
                <w:rFonts w:ascii="仿宋_GB2312" w:eastAsia="仿宋_GB2312"/>
                <w:szCs w:val="21"/>
              </w:rPr>
            </w:pPr>
            <w:r>
              <w:rPr>
                <w:rFonts w:hint="eastAsia"/>
              </w:rPr>
              <w:t>中国人民解放军空军军医大学</w:t>
            </w:r>
          </w:p>
        </w:tc>
        <w:tc>
          <w:tcPr>
            <w:tcW w:w="1843" w:type="dxa"/>
            <w:vAlign w:val="center"/>
          </w:tcPr>
          <w:p>
            <w:pPr>
              <w:jc w:val="center"/>
              <w:rPr>
                <w:rFonts w:ascii="仿宋_GB2312" w:eastAsia="仿宋_GB2312"/>
                <w:szCs w:val="21"/>
              </w:rPr>
            </w:pPr>
            <w:r>
              <w:rPr>
                <w:rFonts w:hint="eastAsia" w:ascii="仿宋_GB2312" w:eastAsia="仿宋_GB2312"/>
                <w:szCs w:val="21"/>
              </w:rPr>
              <w:t>第一</w:t>
            </w:r>
          </w:p>
        </w:tc>
        <w:tc>
          <w:tcPr>
            <w:tcW w:w="5245" w:type="dxa"/>
            <w:vAlign w:val="center"/>
          </w:tcPr>
          <w:p>
            <w:pPr>
              <w:pStyle w:val="3"/>
              <w:spacing w:line="390" w:lineRule="exact"/>
              <w:ind w:firstLine="420"/>
              <w:rPr>
                <w:rFonts w:ascii="Times New Roman"/>
                <w:sz w:val="21"/>
              </w:rPr>
            </w:pPr>
            <w:r>
              <w:rPr>
                <w:rFonts w:hint="eastAsia" w:ascii="Times New Roman"/>
                <w:sz w:val="21"/>
              </w:rPr>
              <w:t>中国人民解放军空军军医大学负责行政管理、组织实施该成果项目，包括相关课题、基金的申报、执行、中期检查、评估、结题验收、经费管理，并组织行政管理、后勤保障人员协作，协调研究人员在项目执行过程中的配备和保障，提供公共设施保障（包括仪器设备、水电气暖）等。同时强化知识产权保护，提供整体支持体系，保证本成果的实施和完成。</w:t>
            </w:r>
          </w:p>
          <w:p>
            <w:pPr>
              <w:pStyle w:val="3"/>
              <w:spacing w:line="390" w:lineRule="exact"/>
              <w:ind w:firstLine="420"/>
              <w:rPr>
                <w:rFonts w:ascii="Times New Roman"/>
                <w:sz w:val="21"/>
              </w:rPr>
            </w:pPr>
            <w:r>
              <w:rPr>
                <w:rFonts w:hint="eastAsia" w:ascii="Times New Roman"/>
                <w:sz w:val="21"/>
              </w:rPr>
              <w:t>中国人民解放军空军军医大学主持本项目大部分工作，主要贡献是科技创新1、2、3，如下：</w:t>
            </w:r>
          </w:p>
          <w:p>
            <w:pPr>
              <w:pStyle w:val="3"/>
              <w:spacing w:line="390" w:lineRule="exact"/>
              <w:ind w:firstLine="420"/>
              <w:rPr>
                <w:rFonts w:ascii="Times New Roman"/>
                <w:sz w:val="21"/>
              </w:rPr>
            </w:pPr>
            <w:r>
              <w:rPr>
                <w:rFonts w:hint="eastAsia" w:ascii="Times New Roman"/>
                <w:sz w:val="21"/>
              </w:rPr>
              <w:t>1、首次阐明了脂联素-AMPK信号受损是T2DM小鼠BCAA分解代谢障碍和病理性积聚的重要原因，BCAA通过促进肝脏Akt2泛素化降解导致胰岛素抵抗和器官损伤，揭示了T2DM与BCAA代谢障碍之间的恶性循环。</w:t>
            </w:r>
          </w:p>
          <w:p>
            <w:pPr>
              <w:pStyle w:val="3"/>
              <w:spacing w:line="390" w:lineRule="exact"/>
              <w:ind w:firstLine="420"/>
              <w:rPr>
                <w:rFonts w:ascii="Times New Roman"/>
                <w:sz w:val="21"/>
              </w:rPr>
            </w:pPr>
            <w:r>
              <w:rPr>
                <w:rFonts w:ascii="Times New Roman"/>
                <w:sz w:val="21"/>
              </w:rPr>
              <w:t>2</w:t>
            </w:r>
            <w:r>
              <w:rPr>
                <w:rFonts w:hint="eastAsia" w:ascii="Times New Roman"/>
                <w:sz w:val="21"/>
              </w:rPr>
              <w:t>、解析了衰竭心肌代谢特征，发现BCAA蓄积导致心肌损伤和心脏重构的现象，并阐明其分子机制，提出“支链氨基酸损伤”学说。</w:t>
            </w:r>
          </w:p>
          <w:p>
            <w:pPr>
              <w:pStyle w:val="3"/>
              <w:spacing w:line="390" w:lineRule="exact"/>
              <w:ind w:firstLine="420"/>
              <w:rPr>
                <w:rFonts w:eastAsia="仿宋_GB2312"/>
                <w:szCs w:val="21"/>
              </w:rPr>
            </w:pPr>
            <w:r>
              <w:rPr>
                <w:rFonts w:hint="eastAsia" w:ascii="Times New Roman"/>
                <w:sz w:val="21"/>
              </w:rPr>
              <w:t>3、发现了增强脂联素/脂联素受体通路、增强BCAA分解代谢酶活性等小分子化合物/调节因子，直接促进了BCAA的分解代谢，显著减轻了代谢紊乱和心肌损伤。</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51" w:type="dxa"/>
          </w:tcPr>
          <w:p>
            <w:pPr>
              <w:rPr>
                <w:rFonts w:ascii="仿宋_GB2312" w:eastAsia="仿宋_GB2312"/>
                <w:szCs w:val="21"/>
              </w:rPr>
            </w:pPr>
          </w:p>
        </w:tc>
        <w:tc>
          <w:tcPr>
            <w:tcW w:w="1843" w:type="dxa"/>
          </w:tcPr>
          <w:p>
            <w:pPr>
              <w:rPr>
                <w:rFonts w:ascii="仿宋_GB2312" w:eastAsia="仿宋_GB2312"/>
                <w:szCs w:val="21"/>
              </w:rPr>
            </w:pPr>
          </w:p>
        </w:tc>
        <w:tc>
          <w:tcPr>
            <w:tcW w:w="5245" w:type="dxa"/>
          </w:tcPr>
          <w:p>
            <w:pPr>
              <w:rPr>
                <w:rFonts w:ascii="仿宋_GB2312" w:eastAsia="仿宋_GB2312"/>
                <w:szCs w:val="21"/>
              </w:rPr>
            </w:pPr>
          </w:p>
        </w:tc>
      </w:tr>
    </w:tbl>
    <w:p>
      <w:pPr>
        <w:rPr>
          <w:rFonts w:ascii="仿宋_GB2312" w:eastAsia="仿宋_GB2312"/>
          <w:sz w:val="32"/>
        </w:rPr>
      </w:pPr>
    </w:p>
    <w:p>
      <w:pPr>
        <w:widowControl/>
        <w:jc w:val="left"/>
        <w:rPr>
          <w:rFonts w:ascii="仿宋_GB2312" w:eastAsia="仿宋_GB2312"/>
          <w:sz w:val="32"/>
        </w:rPr>
      </w:pPr>
      <w:r>
        <w:rPr>
          <w:rFonts w:ascii="仿宋_GB2312" w:eastAsia="仿宋_GB2312"/>
          <w:sz w:val="32"/>
        </w:rPr>
        <w:br w:type="page"/>
      </w:r>
    </w:p>
    <w:p>
      <w:pPr>
        <w:rPr>
          <w:rFonts w:ascii="仿宋_GB2312" w:eastAsia="仿宋_GB2312"/>
          <w:sz w:val="32"/>
        </w:rPr>
      </w:pPr>
      <w:r>
        <w:rPr>
          <w:rFonts w:hint="eastAsia" w:ascii="仿宋_GB2312" w:eastAsia="仿宋_GB2312"/>
          <w:sz w:val="32"/>
        </w:rPr>
        <w:t>四、提名者</w:t>
      </w:r>
    </w:p>
    <w:p>
      <w:pPr>
        <w:ind w:firstLine="560" w:firstLineChars="200"/>
        <w:rPr>
          <w:rFonts w:ascii="仿宋_GB2312" w:eastAsia="仿宋_GB2312"/>
          <w:sz w:val="28"/>
          <w:szCs w:val="21"/>
        </w:rPr>
      </w:pPr>
      <w:r>
        <w:rPr>
          <w:rFonts w:hint="eastAsia" w:ascii="仿宋_GB2312" w:eastAsia="仿宋_GB2312"/>
          <w:sz w:val="28"/>
          <w:szCs w:val="21"/>
        </w:rPr>
        <w:t>陕西省卫生健康委员会</w:t>
      </w:r>
    </w:p>
    <w:p>
      <w:pPr>
        <w:rPr>
          <w:rFonts w:ascii="仿宋_GB2312" w:eastAsia="仿宋_GB2312"/>
          <w:sz w:val="32"/>
        </w:rPr>
      </w:pPr>
    </w:p>
    <w:p>
      <w:pPr>
        <w:rPr>
          <w:rFonts w:ascii="仿宋_GB2312" w:eastAsia="仿宋_GB2312"/>
          <w:sz w:val="32"/>
        </w:rPr>
      </w:pPr>
      <w:r>
        <w:rPr>
          <w:rFonts w:hint="eastAsia" w:ascii="仿宋_GB2312" w:eastAsia="仿宋_GB2312"/>
          <w:sz w:val="32"/>
        </w:rPr>
        <w:t>五、提名意见</w:t>
      </w:r>
    </w:p>
    <w:p>
      <w:pPr>
        <w:ind w:firstLine="560" w:firstLineChars="200"/>
        <w:rPr>
          <w:rFonts w:ascii="仿宋_GB2312" w:eastAsia="仿宋_GB2312"/>
          <w:sz w:val="28"/>
          <w:szCs w:val="21"/>
        </w:rPr>
      </w:pPr>
      <w:r>
        <w:rPr>
          <w:rFonts w:hint="eastAsia" w:ascii="仿宋_GB2312" w:eastAsia="仿宋_GB2312"/>
          <w:sz w:val="28"/>
          <w:szCs w:val="21"/>
          <w:lang w:val="en-US" w:eastAsia="zh-CN"/>
        </w:rPr>
        <w:t>拟</w:t>
      </w:r>
      <w:r>
        <w:rPr>
          <w:rFonts w:hint="eastAsia" w:ascii="仿宋_GB2312" w:eastAsia="仿宋_GB2312"/>
          <w:sz w:val="28"/>
          <w:szCs w:val="21"/>
        </w:rPr>
        <w:t>提名该项目为陕西省自然科学奖。</w:t>
      </w:r>
    </w:p>
    <w:p>
      <w:pPr>
        <w:rPr>
          <w:rFonts w:ascii="仿宋_GB2312" w:eastAsia="仿宋_GB2312"/>
          <w:sz w:val="32"/>
        </w:rPr>
      </w:pPr>
    </w:p>
    <w:p>
      <w:pPr>
        <w:rPr>
          <w:rFonts w:ascii="仿宋_GB2312" w:eastAsia="仿宋_GB2312"/>
          <w:sz w:val="32"/>
        </w:rPr>
      </w:pPr>
      <w:r>
        <w:rPr>
          <w:rFonts w:hint="eastAsia" w:ascii="仿宋_GB2312" w:eastAsia="仿宋_GB2312"/>
          <w:sz w:val="32"/>
        </w:rPr>
        <w:t>六、项目简介</w:t>
      </w:r>
    </w:p>
    <w:p>
      <w:pPr>
        <w:spacing w:line="276"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心血管疾病是人类首位死因。2型糖尿病（T2DM）患者易罹患心血管疾病，二者因密切的流行病学联系被看作是一簇共生疾病。近7成T2DM患者死于心血管疾病，其心梗发生率、死亡率和心衰风险均显著高于非T2DM患者。因此，深入解析T2DM和心血管疾病之间的共有病理机制并切断二者之间的恶性联系具有重大科学意义和临床价值。传统观点认为糖、脂代谢障碍是T2DM损害心血管系统的主要肇事者，但我们对T2DM和心衰代谢解析的研究中发现支链氨基酸（BCAA）的变化最为显著，但其在疾病中的作用尚不清楚。本项目为基础研究类项目，任务来源于国家自然科学基金、国家高技术研究发展计划（863计划）等课题，历时12年，解析了BCAA代谢障碍在T2DM和心衰中的作用和机制，并验证了干预靶点和临床转化可能。</w:t>
      </w:r>
    </w:p>
    <w:p>
      <w:pPr>
        <w:spacing w:line="276" w:lineRule="auto"/>
        <w:ind w:firstLine="482" w:firstLineChars="200"/>
        <w:rPr>
          <w:rFonts w:ascii="Times New Roman" w:hAnsi="Times New Roman" w:eastAsia="仿宋" w:cs="Times New Roman"/>
          <w:sz w:val="24"/>
          <w:szCs w:val="24"/>
        </w:rPr>
      </w:pPr>
      <w:r>
        <w:rPr>
          <w:rFonts w:ascii="Times New Roman" w:hAnsi="Times New Roman" w:eastAsia="仿宋" w:cs="Times New Roman"/>
          <w:b/>
          <w:bCs/>
          <w:sz w:val="24"/>
          <w:szCs w:val="24"/>
        </w:rPr>
        <w:t>1. 本项目的主要研究内容</w:t>
      </w:r>
    </w:p>
    <w:p>
      <w:pPr>
        <w:spacing w:line="276"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1）根据T2DM与心血管疾病共生的特点，采用全基因组关联研究（GWAS）和顺式eQTL联合分析T2DM人群中BCAA分解代谢相关基因，结合BCAA代谢酶基因敲除小鼠、T2DM小鼠、BCAA代谢药物干预和分子生物学方法，明确T2DM中BCAA代谢障碍的分子机制，揭示BCAA异常蓄积加速T2DM进展的作用和机制。</w:t>
      </w:r>
    </w:p>
    <w:p>
      <w:pPr>
        <w:spacing w:line="276"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2）根据心衰患者心肌能量代谢障碍的特点，从代谢组学方法检测心衰患者和动物的心肌样本中变化最为显著的代谢通路入手，综合运用BCAA代谢酶基因敲除小鼠、心衰小鼠、BCAA代谢药物干预和分子生物学方法，确定BCAA代谢障碍在心衰发展中的作用和机制。</w:t>
      </w:r>
    </w:p>
    <w:p>
      <w:pPr>
        <w:spacing w:line="276" w:lineRule="auto"/>
        <w:ind w:firstLine="480" w:firstLineChars="200"/>
        <w:rPr>
          <w:rFonts w:ascii="Times New Roman" w:hAnsi="Times New Roman" w:eastAsia="仿宋" w:cs="Times New Roman"/>
          <w:sz w:val="24"/>
          <w:szCs w:val="24"/>
        </w:rPr>
      </w:pPr>
      <w:r>
        <w:rPr>
          <w:rFonts w:ascii="Times New Roman" w:hAnsi="Times New Roman" w:eastAsia="仿宋" w:cs="Times New Roman"/>
          <w:sz w:val="24"/>
          <w:szCs w:val="24"/>
        </w:rPr>
        <w:t>（3）从我们首次发现的脂联素-AMPK调控BCAA分解代谢的角度入手，筛选促进BCAA分解代谢、减轻BCAA蓄积的小分子化合物和调节因子，验证其遏制心衰、T2DM及二者之间的恶性联系的作用。</w:t>
      </w:r>
    </w:p>
    <w:p>
      <w:pPr>
        <w:spacing w:line="276" w:lineRule="auto"/>
        <w:ind w:firstLine="482" w:firstLineChars="200"/>
        <w:rPr>
          <w:rFonts w:ascii="Times New Roman" w:hAnsi="Times New Roman" w:eastAsia="仿宋" w:cs="Times New Roman"/>
          <w:sz w:val="24"/>
          <w:szCs w:val="24"/>
        </w:rPr>
      </w:pPr>
      <w:r>
        <w:rPr>
          <w:rFonts w:ascii="Times New Roman" w:hAnsi="Times New Roman" w:eastAsia="仿宋" w:cs="Times New Roman"/>
          <w:b/>
          <w:bCs/>
          <w:sz w:val="24"/>
          <w:szCs w:val="24"/>
        </w:rPr>
        <w:t>2. 本项目的主要科学发现</w:t>
      </w:r>
    </w:p>
    <w:p>
      <w:pPr>
        <w:pStyle w:val="15"/>
        <w:spacing w:line="276" w:lineRule="auto"/>
        <w:ind w:firstLine="482"/>
        <w:rPr>
          <w:rFonts w:ascii="Times New Roman" w:eastAsia="仿宋"/>
          <w:b/>
          <w:bCs/>
          <w:color w:val="0070C0"/>
          <w:szCs w:val="24"/>
        </w:rPr>
      </w:pPr>
      <w:r>
        <w:rPr>
          <w:rFonts w:ascii="Times New Roman" w:eastAsia="仿宋"/>
          <w:b/>
          <w:bCs/>
          <w:color w:val="0070C0"/>
          <w:szCs w:val="24"/>
        </w:rPr>
        <w:t>（1）发现了T2DM患者的支链氨基酸（BCAA）分解代谢相关基因存在显著改变和BCAA病理性蓄积，首次阐明了脂联素-AMPK信号受损是T2DM小鼠BCAA分解代谢障碍和病理性积聚的重要原因，BCAA通过促进肝脏Akt2泛素化降解导致胰岛素抵抗和器官损伤，揭示了T2DM与BCAA代谢障碍之间的恶性循环。</w:t>
      </w:r>
      <w:r>
        <w:rPr>
          <w:rFonts w:ascii="Times New Roman" w:eastAsia="仿宋"/>
          <w:szCs w:val="24"/>
        </w:rPr>
        <w:fldChar w:fldCharType="begin"/>
      </w:r>
      <w:r>
        <w:rPr>
          <w:rFonts w:ascii="Times New Roman" w:eastAsia="仿宋"/>
          <w:szCs w:val="24"/>
        </w:rPr>
        <w:instrText xml:space="preserve"> = 1 \* GB3 </w:instrText>
      </w:r>
      <w:r>
        <w:rPr>
          <w:rFonts w:ascii="Times New Roman" w:eastAsia="仿宋"/>
          <w:szCs w:val="24"/>
        </w:rPr>
        <w:fldChar w:fldCharType="separate"/>
      </w:r>
      <w:r>
        <w:rPr>
          <w:rFonts w:hint="eastAsia" w:ascii="宋体" w:hAnsi="宋体" w:cs="宋体"/>
          <w:szCs w:val="24"/>
        </w:rPr>
        <w:t>①</w:t>
      </w:r>
      <w:r>
        <w:rPr>
          <w:rFonts w:ascii="Times New Roman" w:eastAsia="仿宋"/>
          <w:szCs w:val="24"/>
        </w:rPr>
        <w:fldChar w:fldCharType="end"/>
      </w:r>
      <w:r>
        <w:rPr>
          <w:rFonts w:ascii="Times New Roman" w:eastAsia="仿宋"/>
          <w:szCs w:val="24"/>
        </w:rPr>
        <w:t>我们采用T2DM患者的脂肪、肝脏和肌肉组织，筛选出BCAA分解代谢通路相关基因发生显著改变，是导致BCAA蓄积的原因。</w:t>
      </w:r>
      <w:r>
        <w:rPr>
          <w:rFonts w:ascii="Times New Roman" w:eastAsia="仿宋"/>
          <w:szCs w:val="24"/>
        </w:rPr>
        <w:fldChar w:fldCharType="begin"/>
      </w:r>
      <w:r>
        <w:rPr>
          <w:rFonts w:ascii="Times New Roman" w:eastAsia="仿宋"/>
          <w:szCs w:val="24"/>
        </w:rPr>
        <w:instrText xml:space="preserve"> = 2 \* GB3 </w:instrText>
      </w:r>
      <w:r>
        <w:rPr>
          <w:rFonts w:ascii="Times New Roman" w:eastAsia="仿宋"/>
          <w:szCs w:val="24"/>
        </w:rPr>
        <w:fldChar w:fldCharType="separate"/>
      </w:r>
      <w:r>
        <w:rPr>
          <w:rFonts w:hint="eastAsia" w:ascii="宋体" w:hAnsi="宋体" w:cs="宋体"/>
          <w:szCs w:val="24"/>
        </w:rPr>
        <w:t>②</w:t>
      </w:r>
      <w:r>
        <w:rPr>
          <w:rFonts w:ascii="Times New Roman" w:eastAsia="仿宋"/>
          <w:szCs w:val="24"/>
        </w:rPr>
        <w:fldChar w:fldCharType="end"/>
      </w:r>
      <w:r>
        <w:rPr>
          <w:rFonts w:ascii="Times New Roman" w:eastAsia="仿宋"/>
          <w:color w:val="333333"/>
          <w:szCs w:val="24"/>
          <w:shd w:val="clear" w:color="auto" w:fill="FFFFFF"/>
        </w:rPr>
        <w:t>首次发现脂联素-AMPK具有调控BCAA分解代谢关键酶PP2Cm表达的作用，T2DM小鼠出现低脂联素血症，是导致PP2Cm下降和BCAA代谢障碍的关键机制。</w:t>
      </w:r>
      <w:r>
        <w:rPr>
          <w:rFonts w:ascii="Times New Roman" w:eastAsia="仿宋"/>
          <w:szCs w:val="24"/>
        </w:rPr>
        <w:fldChar w:fldCharType="begin"/>
      </w:r>
      <w:r>
        <w:rPr>
          <w:rFonts w:ascii="Times New Roman" w:eastAsia="仿宋"/>
          <w:szCs w:val="24"/>
        </w:rPr>
        <w:instrText xml:space="preserve"> = 3 \* GB3 </w:instrText>
      </w:r>
      <w:r>
        <w:rPr>
          <w:rFonts w:ascii="Times New Roman" w:eastAsia="仿宋"/>
          <w:szCs w:val="24"/>
        </w:rPr>
        <w:fldChar w:fldCharType="separate"/>
      </w:r>
      <w:r>
        <w:rPr>
          <w:rFonts w:hint="eastAsia" w:ascii="宋体" w:hAnsi="宋体" w:cs="宋体"/>
          <w:szCs w:val="24"/>
        </w:rPr>
        <w:t>③</w:t>
      </w:r>
      <w:r>
        <w:rPr>
          <w:rFonts w:ascii="Times New Roman" w:eastAsia="仿宋"/>
          <w:szCs w:val="24"/>
        </w:rPr>
        <w:fldChar w:fldCharType="end"/>
      </w:r>
      <w:r>
        <w:rPr>
          <w:rFonts w:ascii="Times New Roman" w:eastAsia="仿宋"/>
          <w:szCs w:val="24"/>
        </w:rPr>
        <w:t>发现</w:t>
      </w:r>
      <w:r>
        <w:rPr>
          <w:rFonts w:ascii="Times New Roman" w:eastAsia="仿宋"/>
          <w:color w:val="333333"/>
          <w:szCs w:val="24"/>
          <w:shd w:val="clear" w:color="auto" w:fill="FFFFFF"/>
        </w:rPr>
        <w:t>病理性BCAA蓄积抑制肝脏脂质新生并促进白色脂肪组织脂质分解，破坏机体防御高脂毒性的第一道防线——储脂功能，进一步加重T2DM小鼠高脂血症、胰岛素抵抗和脂毒性器官损伤。</w:t>
      </w:r>
      <w:r>
        <w:rPr>
          <w:rFonts w:ascii="Times New Roman" w:eastAsia="仿宋"/>
          <w:color w:val="333333"/>
          <w:szCs w:val="24"/>
          <w:shd w:val="clear" w:color="auto" w:fill="FFFFFF"/>
        </w:rPr>
        <w:fldChar w:fldCharType="begin"/>
      </w:r>
      <w:r>
        <w:rPr>
          <w:rFonts w:ascii="Times New Roman" w:eastAsia="仿宋"/>
          <w:color w:val="333333"/>
          <w:szCs w:val="24"/>
          <w:shd w:val="clear" w:color="auto" w:fill="FFFFFF"/>
        </w:rPr>
        <w:instrText xml:space="preserve"> = 4 \* GB3 </w:instrText>
      </w:r>
      <w:r>
        <w:rPr>
          <w:rFonts w:ascii="Times New Roman" w:eastAsia="仿宋"/>
          <w:color w:val="333333"/>
          <w:szCs w:val="24"/>
          <w:shd w:val="clear" w:color="auto" w:fill="FFFFFF"/>
        </w:rPr>
        <w:fldChar w:fldCharType="separate"/>
      </w:r>
      <w:r>
        <w:rPr>
          <w:rFonts w:hint="eastAsia" w:ascii="宋体" w:hAnsi="宋体" w:cs="宋体"/>
          <w:color w:val="333333"/>
          <w:szCs w:val="24"/>
          <w:shd w:val="clear" w:color="auto" w:fill="FFFFFF"/>
        </w:rPr>
        <w:t>④</w:t>
      </w:r>
      <w:r>
        <w:rPr>
          <w:rFonts w:ascii="Times New Roman" w:eastAsia="仿宋"/>
          <w:color w:val="333333"/>
          <w:szCs w:val="24"/>
          <w:shd w:val="clear" w:color="auto" w:fill="FFFFFF"/>
        </w:rPr>
        <w:fldChar w:fldCharType="end"/>
      </w:r>
      <w:r>
        <w:rPr>
          <w:rFonts w:ascii="Times New Roman" w:eastAsia="仿宋"/>
          <w:color w:val="333333"/>
          <w:szCs w:val="24"/>
          <w:shd w:val="clear" w:color="auto" w:fill="FFFFFF"/>
        </w:rPr>
        <w:t>发现BCAA和BCKA异常蓄积会造成T2DM小鼠肝脏mTORC1信号激活而mTORC2信号失活，E3连接酶MUL1的活性增加，使胰岛素信号关键效应分子Akt2发生泛素化-蛋白酶体降解，造成糖异生增加、脂质新生减少，使肝脏发生重度胰岛素抵抗和储脂能力降低。</w:t>
      </w:r>
    </w:p>
    <w:p>
      <w:pPr>
        <w:pStyle w:val="15"/>
        <w:spacing w:line="276" w:lineRule="auto"/>
        <w:ind w:firstLine="482"/>
        <w:rPr>
          <w:rFonts w:ascii="Times New Roman" w:eastAsia="仿宋"/>
          <w:szCs w:val="24"/>
        </w:rPr>
      </w:pPr>
      <w:r>
        <w:rPr>
          <w:rFonts w:ascii="Times New Roman" w:eastAsia="仿宋"/>
          <w:b/>
          <w:bCs/>
          <w:color w:val="0070C0"/>
          <w:szCs w:val="24"/>
        </w:rPr>
        <w:t>（2）解析了衰竭心肌代谢特征，发现BCAA蓄积导致心肌损伤和心脏重构的现象，并阐明其分子机制，提出“支链氨基酸损伤”学说。</w:t>
      </w:r>
      <w:r>
        <w:rPr>
          <w:rFonts w:ascii="Times New Roman" w:eastAsia="仿宋"/>
          <w:szCs w:val="24"/>
        </w:rPr>
        <w:fldChar w:fldCharType="begin"/>
      </w:r>
      <w:r>
        <w:rPr>
          <w:rFonts w:ascii="Times New Roman" w:eastAsia="仿宋"/>
          <w:szCs w:val="24"/>
        </w:rPr>
        <w:instrText xml:space="preserve"> = 1 \* GB3 </w:instrText>
      </w:r>
      <w:r>
        <w:rPr>
          <w:rFonts w:ascii="Times New Roman" w:eastAsia="仿宋"/>
          <w:szCs w:val="24"/>
        </w:rPr>
        <w:fldChar w:fldCharType="separate"/>
      </w:r>
      <w:r>
        <w:rPr>
          <w:rFonts w:hint="eastAsia" w:ascii="宋体" w:hAnsi="宋体" w:cs="宋体"/>
          <w:szCs w:val="24"/>
        </w:rPr>
        <w:t>①</w:t>
      </w:r>
      <w:r>
        <w:rPr>
          <w:rFonts w:ascii="Times New Roman" w:eastAsia="仿宋"/>
          <w:szCs w:val="24"/>
        </w:rPr>
        <w:fldChar w:fldCharType="end"/>
      </w:r>
      <w:r>
        <w:rPr>
          <w:rFonts w:ascii="Times New Roman" w:eastAsia="仿宋"/>
          <w:szCs w:val="24"/>
        </w:rPr>
        <w:t>发现在人的衰竭心脏样本、压力负荷所致的小鼠心衰样本中，多种BCAA代谢酶的基因表达受到抑制，导致BCAA代谢缺陷，代谢中间产物支链α酮酸（BCKA）堆积。揭示了KLF15是调控BCAA代谢酶的基因表达的共同转录因子。</w:t>
      </w:r>
      <w:r>
        <w:rPr>
          <w:rFonts w:ascii="Times New Roman" w:eastAsia="仿宋"/>
          <w:szCs w:val="24"/>
        </w:rPr>
        <w:fldChar w:fldCharType="begin"/>
      </w:r>
      <w:r>
        <w:rPr>
          <w:rFonts w:ascii="Times New Roman" w:eastAsia="仿宋"/>
          <w:szCs w:val="24"/>
        </w:rPr>
        <w:instrText xml:space="preserve"> = 2 \* GB3 </w:instrText>
      </w:r>
      <w:r>
        <w:rPr>
          <w:rFonts w:ascii="Times New Roman" w:eastAsia="仿宋"/>
          <w:szCs w:val="24"/>
        </w:rPr>
        <w:fldChar w:fldCharType="separate"/>
      </w:r>
      <w:r>
        <w:rPr>
          <w:rFonts w:hint="eastAsia" w:ascii="宋体" w:hAnsi="宋体" w:cs="宋体"/>
          <w:szCs w:val="24"/>
        </w:rPr>
        <w:t>②</w:t>
      </w:r>
      <w:r>
        <w:rPr>
          <w:rFonts w:ascii="Times New Roman" w:eastAsia="仿宋"/>
          <w:szCs w:val="24"/>
        </w:rPr>
        <w:fldChar w:fldCharType="end"/>
      </w:r>
      <w:r>
        <w:rPr>
          <w:rFonts w:ascii="Times New Roman" w:eastAsia="仿宋"/>
          <w:szCs w:val="24"/>
        </w:rPr>
        <w:t>在急性心肌缺血时，发现BCAA可通过启动心肌代谢重编程的分子开关PPAR-α，导致缺血心肌糖脂代谢失衡，加重心肌损伤。同时BCKA可以抑制线粒体氧化磷酸化，诱导心肌细胞氧化应激损伤。</w:t>
      </w:r>
      <w:r>
        <w:rPr>
          <w:rFonts w:ascii="Times New Roman" w:eastAsia="仿宋"/>
          <w:szCs w:val="24"/>
        </w:rPr>
        <w:fldChar w:fldCharType="begin"/>
      </w:r>
      <w:r>
        <w:rPr>
          <w:rFonts w:ascii="Times New Roman" w:eastAsia="仿宋"/>
          <w:szCs w:val="24"/>
        </w:rPr>
        <w:instrText xml:space="preserve"> = 3 \* GB3 </w:instrText>
      </w:r>
      <w:r>
        <w:rPr>
          <w:rFonts w:ascii="Times New Roman" w:eastAsia="仿宋"/>
          <w:szCs w:val="24"/>
        </w:rPr>
        <w:fldChar w:fldCharType="separate"/>
      </w:r>
      <w:r>
        <w:rPr>
          <w:rFonts w:hint="eastAsia" w:ascii="宋体" w:hAnsi="宋体" w:cs="宋体"/>
          <w:szCs w:val="24"/>
        </w:rPr>
        <w:t>③</w:t>
      </w:r>
      <w:r>
        <w:rPr>
          <w:rFonts w:ascii="Times New Roman" w:eastAsia="仿宋"/>
          <w:szCs w:val="24"/>
        </w:rPr>
        <w:fldChar w:fldCharType="end"/>
      </w:r>
      <w:r>
        <w:rPr>
          <w:rFonts w:ascii="Times New Roman" w:eastAsia="仿宋"/>
          <w:szCs w:val="24"/>
        </w:rPr>
        <w:t>在慢性缺血性心衰小鼠模型中，也发现心脏BCAA蓄积的现象。通过饲喂BCAA增加心脏BCAA蓄积，导致了更为严重的心脏病理性重构和心衰，其机制是BCAA激活氨基酸感知蛋白mTORC1，抑制心肌细胞自噬，导致心肌病理重构。基于上述研究，我们提出了心衰发生发展的新机制——“支链氨基酸损伤”学说，即心脏中的BCAA出现分解代谢障碍，引起BCAA和BCKA蓄积，通过激活mTORC1、抑制线粒体氧化磷酸化、增加PPAR-α三种机制，导致能量代谢障碍和心肌损伤。</w:t>
      </w:r>
    </w:p>
    <w:p>
      <w:pPr>
        <w:pStyle w:val="15"/>
        <w:spacing w:line="276" w:lineRule="auto"/>
        <w:ind w:firstLine="482"/>
        <w:rPr>
          <w:rFonts w:ascii="Times New Roman" w:eastAsia="仿宋"/>
          <w:color w:val="333333"/>
          <w:szCs w:val="24"/>
          <w:shd w:val="clear" w:color="auto" w:fill="FFFFFF"/>
        </w:rPr>
      </w:pPr>
      <w:r>
        <w:rPr>
          <w:rFonts w:ascii="Times New Roman" w:eastAsia="仿宋"/>
          <w:b/>
          <w:bCs/>
          <w:color w:val="0070C0"/>
          <w:szCs w:val="24"/>
        </w:rPr>
        <w:t>（3）发现了增强脂联素/脂联素受体通路、增强BCAA分解代谢酶活性等4种小分子化合物/调节因子，直接促进了BCAA的分解代谢，显著减轻了代谢紊乱和心肌损伤。</w:t>
      </w:r>
      <w:r>
        <w:rPr>
          <w:rFonts w:ascii="Times New Roman" w:eastAsia="仿宋"/>
          <w:szCs w:val="24"/>
        </w:rPr>
        <w:fldChar w:fldCharType="begin"/>
      </w:r>
      <w:r>
        <w:rPr>
          <w:rFonts w:ascii="Times New Roman" w:eastAsia="仿宋"/>
          <w:szCs w:val="24"/>
        </w:rPr>
        <w:instrText xml:space="preserve"> = 1 \* GB3 </w:instrText>
      </w:r>
      <w:r>
        <w:rPr>
          <w:rFonts w:ascii="Times New Roman" w:eastAsia="仿宋"/>
          <w:szCs w:val="24"/>
        </w:rPr>
        <w:fldChar w:fldCharType="separate"/>
      </w:r>
      <w:r>
        <w:rPr>
          <w:rFonts w:hint="eastAsia" w:ascii="宋体" w:hAnsi="宋体" w:cs="宋体"/>
          <w:szCs w:val="24"/>
        </w:rPr>
        <w:t>①</w:t>
      </w:r>
      <w:r>
        <w:rPr>
          <w:rFonts w:ascii="Times New Roman" w:eastAsia="仿宋"/>
          <w:szCs w:val="24"/>
        </w:rPr>
        <w:fldChar w:fldCharType="end"/>
      </w:r>
      <w:r>
        <w:rPr>
          <w:rFonts w:ascii="Times New Roman" w:eastAsia="仿宋"/>
          <w:szCs w:val="24"/>
        </w:rPr>
        <w:t>通过</w:t>
      </w:r>
      <w:r>
        <w:rPr>
          <w:rFonts w:ascii="Times New Roman" w:eastAsia="仿宋"/>
          <w:color w:val="333333"/>
          <w:szCs w:val="24"/>
          <w:shd w:val="clear" w:color="auto" w:fill="FFFFFF"/>
        </w:rPr>
        <w:t>饮水给予小分子化合物BT2（BCKDK抑制剂）治疗T2DM和心衰小鼠，可有效促进全身BCAA分解代谢，从而显著减轻胰岛素抵抗、心肌缺血损伤和</w:t>
      </w:r>
      <w:r>
        <w:rPr>
          <w:rFonts w:ascii="Times New Roman" w:eastAsia="仿宋"/>
          <w:szCs w:val="24"/>
        </w:rPr>
        <w:t>心衰进展</w:t>
      </w:r>
      <w:r>
        <w:rPr>
          <w:rFonts w:ascii="Times New Roman" w:eastAsia="仿宋"/>
          <w:color w:val="333333"/>
          <w:szCs w:val="24"/>
          <w:shd w:val="clear" w:color="auto" w:fill="FFFFFF"/>
        </w:rPr>
        <w:t>。</w:t>
      </w:r>
      <w:r>
        <w:rPr>
          <w:rFonts w:ascii="Times New Roman" w:eastAsia="仿宋"/>
          <w:szCs w:val="24"/>
        </w:rPr>
        <w:fldChar w:fldCharType="begin"/>
      </w:r>
      <w:r>
        <w:rPr>
          <w:rFonts w:ascii="Times New Roman" w:eastAsia="仿宋"/>
          <w:szCs w:val="24"/>
        </w:rPr>
        <w:instrText xml:space="preserve"> = 2 \* GB3 </w:instrText>
      </w:r>
      <w:r>
        <w:rPr>
          <w:rFonts w:ascii="Times New Roman" w:eastAsia="仿宋"/>
          <w:szCs w:val="24"/>
        </w:rPr>
        <w:fldChar w:fldCharType="separate"/>
      </w:r>
      <w:r>
        <w:rPr>
          <w:rFonts w:hint="eastAsia" w:ascii="宋体" w:hAnsi="宋体" w:cs="宋体"/>
          <w:szCs w:val="24"/>
        </w:rPr>
        <w:t>②</w:t>
      </w:r>
      <w:r>
        <w:rPr>
          <w:rFonts w:ascii="Times New Roman" w:eastAsia="仿宋"/>
          <w:szCs w:val="24"/>
        </w:rPr>
        <w:fldChar w:fldCharType="end"/>
      </w:r>
      <w:r>
        <w:rPr>
          <w:rFonts w:ascii="Times New Roman" w:eastAsia="仿宋"/>
          <w:color w:val="333333"/>
          <w:szCs w:val="24"/>
          <w:shd w:val="clear" w:color="auto" w:fill="FFFFFF"/>
        </w:rPr>
        <w:t>发现脂联素球状片段（gAd）替代治疗可以有效逆转T2DM小鼠肝脏、脂肪和骨骼肌中的PP2Cm表达，显著减轻全身BCAA蓄积，改善心肌线粒体功能，减轻心肌缺血损伤。</w:t>
      </w:r>
      <w:r>
        <w:rPr>
          <w:rFonts w:ascii="Times New Roman" w:eastAsia="仿宋"/>
          <w:szCs w:val="24"/>
        </w:rPr>
        <w:fldChar w:fldCharType="begin"/>
      </w:r>
      <w:r>
        <w:rPr>
          <w:rFonts w:ascii="Times New Roman" w:eastAsia="仿宋"/>
          <w:szCs w:val="24"/>
        </w:rPr>
        <w:instrText xml:space="preserve"> = 3 \* GB3 </w:instrText>
      </w:r>
      <w:r>
        <w:rPr>
          <w:rFonts w:ascii="Times New Roman" w:eastAsia="仿宋"/>
          <w:szCs w:val="24"/>
        </w:rPr>
        <w:fldChar w:fldCharType="separate"/>
      </w:r>
      <w:r>
        <w:rPr>
          <w:rFonts w:hint="eastAsia" w:ascii="宋体" w:hAnsi="宋体" w:cs="宋体"/>
          <w:szCs w:val="24"/>
        </w:rPr>
        <w:t>③</w:t>
      </w:r>
      <w:r>
        <w:rPr>
          <w:rFonts w:ascii="Times New Roman" w:eastAsia="仿宋"/>
          <w:szCs w:val="24"/>
        </w:rPr>
        <w:fldChar w:fldCharType="end"/>
      </w:r>
      <w:r>
        <w:rPr>
          <w:rFonts w:ascii="Times New Roman" w:eastAsia="仿宋"/>
          <w:szCs w:val="24"/>
        </w:rPr>
        <w:t>发现</w:t>
      </w:r>
      <w:r>
        <w:rPr>
          <w:rFonts w:ascii="Times New Roman" w:eastAsia="仿宋"/>
          <w:color w:val="333333"/>
          <w:szCs w:val="24"/>
          <w:shd w:val="clear" w:color="auto" w:fill="FFFFFF"/>
        </w:rPr>
        <w:t>脂肪组织中胆汁酸/FXR信号降低导致脂联素转录和分泌减少，采用小分子化合物GW4064激活脂肪组织FXR显著升高了血中脂联素水平，有效减轻心脏重构和心衰进展。</w:t>
      </w:r>
      <w:r>
        <w:rPr>
          <w:rFonts w:ascii="Times New Roman" w:eastAsia="仿宋"/>
          <w:szCs w:val="24"/>
        </w:rPr>
        <w:fldChar w:fldCharType="begin"/>
      </w:r>
      <w:r>
        <w:rPr>
          <w:rFonts w:ascii="Times New Roman" w:eastAsia="仿宋"/>
          <w:szCs w:val="24"/>
        </w:rPr>
        <w:instrText xml:space="preserve"> = 4 \* GB3 </w:instrText>
      </w:r>
      <w:r>
        <w:rPr>
          <w:rFonts w:ascii="Times New Roman" w:eastAsia="仿宋"/>
          <w:szCs w:val="24"/>
        </w:rPr>
        <w:fldChar w:fldCharType="separate"/>
      </w:r>
      <w:r>
        <w:rPr>
          <w:rFonts w:hint="eastAsia" w:ascii="宋体" w:hAnsi="宋体" w:cs="宋体"/>
          <w:szCs w:val="24"/>
        </w:rPr>
        <w:t>④</w:t>
      </w:r>
      <w:r>
        <w:rPr>
          <w:rFonts w:ascii="Times New Roman" w:eastAsia="仿宋"/>
          <w:szCs w:val="24"/>
        </w:rPr>
        <w:fldChar w:fldCharType="end"/>
      </w:r>
      <w:r>
        <w:rPr>
          <w:rFonts w:ascii="Times New Roman" w:eastAsia="仿宋"/>
          <w:color w:val="333333"/>
          <w:szCs w:val="24"/>
          <w:shd w:val="clear" w:color="auto" w:fill="FFFFFF"/>
        </w:rPr>
        <w:t>我们发现脂联素类似物CTRP9激活脂联素受体/AMPK信号，并鉴定了其新受体N-cadherin，比脂联素受体T-cadherin发挥更强的心肌保护作用。</w:t>
      </w:r>
    </w:p>
    <w:p>
      <w:pPr>
        <w:pStyle w:val="15"/>
        <w:spacing w:line="276" w:lineRule="auto"/>
        <w:ind w:firstLine="482"/>
        <w:rPr>
          <w:rFonts w:ascii="Times New Roman" w:eastAsia="仿宋"/>
          <w:b/>
          <w:bCs/>
          <w:szCs w:val="24"/>
        </w:rPr>
      </w:pPr>
      <w:r>
        <w:rPr>
          <w:rFonts w:ascii="Times New Roman" w:eastAsia="仿宋"/>
          <w:b/>
          <w:bCs/>
          <w:szCs w:val="24"/>
        </w:rPr>
        <w:t>3. 本项目的科学价值：</w:t>
      </w:r>
    </w:p>
    <w:p>
      <w:pPr>
        <w:pStyle w:val="15"/>
        <w:spacing w:line="276" w:lineRule="auto"/>
        <w:rPr>
          <w:rFonts w:ascii="Times New Roman" w:eastAsia="仿宋"/>
          <w:color w:val="333333"/>
          <w:szCs w:val="24"/>
          <w:shd w:val="clear" w:color="auto" w:fill="FFFFFF"/>
        </w:rPr>
      </w:pPr>
      <w:r>
        <w:rPr>
          <w:rFonts w:ascii="Times New Roman" w:eastAsia="仿宋"/>
          <w:color w:val="333333"/>
          <w:szCs w:val="24"/>
          <w:shd w:val="clear" w:color="auto" w:fill="FFFFFF"/>
        </w:rPr>
        <w:t>T2DM及其相关心血管疾病已经成为全球第一大致死原因。本项目系统阐述了BCAA代谢异常在T2DM及心衰中的重要致病作用和调控机制，提出了心衰的“支链氨基酸损伤”学说，确定了脂联素-PP2Cm和BCKDK作为调控BCAA分解代谢的重要靶点，并验证了gAd、GW4064、CTRP9和BT2等4种具有调控脂联素/脂联素受体-PP2Cm和BCKDK的小分子化合物/调节因子治疗的临床转化价值。从而提出了支链氨基酸代谢异常是糖脂代谢之外的、全新的T2DM及心衰病理生理机制。</w:t>
      </w:r>
    </w:p>
    <w:p>
      <w:pPr>
        <w:pStyle w:val="15"/>
        <w:spacing w:line="276" w:lineRule="auto"/>
        <w:ind w:firstLine="482"/>
        <w:rPr>
          <w:rFonts w:ascii="Times New Roman" w:eastAsia="仿宋"/>
          <w:b/>
          <w:bCs/>
          <w:szCs w:val="24"/>
        </w:rPr>
      </w:pPr>
      <w:r>
        <w:rPr>
          <w:rFonts w:ascii="Times New Roman" w:eastAsia="仿宋"/>
          <w:b/>
          <w:bCs/>
          <w:szCs w:val="24"/>
        </w:rPr>
        <w:t>4. 本项目被同行引用与评价情况：</w:t>
      </w:r>
    </w:p>
    <w:p>
      <w:pPr>
        <w:pStyle w:val="15"/>
        <w:spacing w:line="276" w:lineRule="auto"/>
        <w:rPr>
          <w:rFonts w:ascii="Times New Roman" w:eastAsia="仿宋"/>
          <w:sz w:val="32"/>
        </w:rPr>
      </w:pPr>
      <w:r>
        <w:rPr>
          <w:rFonts w:ascii="Times New Roman" w:eastAsia="仿宋"/>
          <w:szCs w:val="24"/>
          <w:shd w:val="clear" w:color="auto" w:fill="FFFFFF"/>
        </w:rPr>
        <w:t>5篇代表性论文IF&gt;10的3篇，单篇最高影响因子29.69，被Science、Cell Metab等SCI他引342次，被写入《Heart Failure E-Book: A Companion to Braunwald’s Heart Disease》等9本英文专著。</w:t>
      </w:r>
      <w:r>
        <w:rPr>
          <w:rFonts w:ascii="Times New Roman" w:eastAsia="仿宋"/>
          <w:color w:val="333333"/>
          <w:szCs w:val="24"/>
          <w:shd w:val="clear" w:color="auto" w:fill="FFFFFF"/>
        </w:rPr>
        <w:t>其中，代表性论著1获得2015年全军优秀博士学位论文；代表性论著3被SCI他</w:t>
      </w:r>
      <w:r>
        <w:rPr>
          <w:rFonts w:ascii="Times New Roman" w:eastAsia="仿宋"/>
          <w:szCs w:val="24"/>
          <w:shd w:val="clear" w:color="auto" w:fill="FFFFFF"/>
        </w:rPr>
        <w:t>引189次</w:t>
      </w:r>
      <w:r>
        <w:rPr>
          <w:rFonts w:ascii="Times New Roman" w:eastAsia="仿宋"/>
          <w:color w:val="333333"/>
          <w:szCs w:val="24"/>
          <w:shd w:val="clear" w:color="auto" w:fill="FFFFFF"/>
        </w:rPr>
        <w:t>，被评为ESI top 1%高被引论文；代表性论著5被选为封面文章并获得F1000Prime推荐阅读。</w:t>
      </w:r>
    </w:p>
    <w:p>
      <w:pPr>
        <w:widowControl/>
        <w:jc w:val="left"/>
        <w:rPr>
          <w:rFonts w:ascii="仿宋_GB2312" w:eastAsia="仿宋_GB2312"/>
          <w:sz w:val="32"/>
        </w:rPr>
      </w:pPr>
      <w:r>
        <w:rPr>
          <w:rFonts w:ascii="仿宋_GB2312" w:eastAsia="仿宋_GB2312"/>
          <w:sz w:val="32"/>
        </w:rPr>
        <w:br w:type="page"/>
      </w:r>
    </w:p>
    <w:p>
      <w:pPr>
        <w:rPr>
          <w:rFonts w:ascii="仿宋_GB2312" w:eastAsia="仿宋_GB2312"/>
          <w:sz w:val="32"/>
        </w:rPr>
      </w:pPr>
      <w:r>
        <w:rPr>
          <w:rFonts w:hint="eastAsia" w:ascii="仿宋_GB2312" w:eastAsia="仿宋_GB2312"/>
          <w:sz w:val="32"/>
        </w:rPr>
        <w:t>七、客观评价</w:t>
      </w:r>
    </w:p>
    <w:p>
      <w:pPr>
        <w:pStyle w:val="3"/>
        <w:spacing w:line="276" w:lineRule="auto"/>
        <w:ind w:firstLine="0" w:firstLineChars="0"/>
        <w:outlineLvl w:val="1"/>
        <w:rPr>
          <w:rFonts w:ascii="Times New Roman" w:eastAsia="仿宋" w:cs="Times New Roman"/>
          <w:b/>
          <w:bCs/>
        </w:rPr>
      </w:pPr>
      <w:r>
        <w:rPr>
          <w:rFonts w:ascii="Times New Roman" w:eastAsia="仿宋" w:cs="Times New Roman"/>
          <w:b/>
          <w:bCs/>
        </w:rPr>
        <w:t>一、针对科学发现-1的评述：</w:t>
      </w:r>
      <w:r>
        <w:rPr>
          <w:rFonts w:ascii="Times New Roman" w:eastAsia="仿宋" w:cs="Times New Roman"/>
        </w:rPr>
        <w:t>我们发表在Diabetes 2015（代表性论著1）和EBioMedicine 2016（代表性论著2）的工作证实了T2DM动物全身BCAA分解代谢障碍，首次报道了脂联素及其下游AMPK调控BCAA代谢关键酶PP2Cm表达和BCAA稳态，揭示了T2DM导致BCAA水平增高的分子机制，证实了BCAA通过促进肝脏Akt2泛素化降解加重胰岛素抵抗。</w:t>
      </w:r>
    </w:p>
    <w:p>
      <w:pPr>
        <w:pStyle w:val="3"/>
        <w:spacing w:line="276" w:lineRule="auto"/>
        <w:outlineLvl w:val="1"/>
        <w:rPr>
          <w:rFonts w:ascii="Times New Roman" w:eastAsia="仿宋" w:cs="Times New Roman"/>
        </w:rPr>
      </w:pPr>
      <w:r>
        <w:rPr>
          <w:rFonts w:ascii="Times New Roman" w:eastAsia="仿宋" w:cs="Times New Roman"/>
        </w:rPr>
        <w:t>1. 我们发表于Diabetes 2015（代表性论著1，被SCI他引44次）的有关脂联素调控T2DM小鼠全身BCAA代谢的工作被三篇Cell Metab文章引用（Cell Metab. 2017 Apr 4;25(4):838-855.e15、Cell Metab. 2018 Jun 5;27(6):1281-1293.e7和Cell Metab. 2021 May 4;33(5):939-956.e8.）。其中，在Cell Metab. 2017文章中，美国杜克大学分子生理研究所的Matthew Hirschey教授肯定了我们发现的T2DM小鼠发生BCAA分解代谢障碍的现象。在Cell Metab. 2018文章中，Christopher Newgard教授将我们发现的肝脏和脂肪中支链α酮酸脱氢酶（BCKD）磷酸化失活、PP2Cm表达降低，以及脂联素调控PP2Cm和BCAA代谢作为重要证据5次引用。在Cell Metab. 2021文章中，哈佛医学院乔斯林糖尿病中心Laurie J. Goodyear教授引用了我们有关AMPK信号通路的内容。</w:t>
      </w:r>
    </w:p>
    <w:p>
      <w:pPr>
        <w:pStyle w:val="3"/>
        <w:spacing w:line="276" w:lineRule="auto"/>
        <w:outlineLvl w:val="1"/>
        <w:rPr>
          <w:rFonts w:ascii="Times New Roman" w:eastAsia="仿宋" w:cs="Times New Roman"/>
        </w:rPr>
      </w:pPr>
      <w:r>
        <w:rPr>
          <w:rFonts w:ascii="Times New Roman" w:eastAsia="仿宋" w:cs="Times New Roman"/>
        </w:rPr>
        <w:t>2. 一项临床研究（Diabetologia. 2021 Feb;64(2):410-423）在久坐不动的男性人群中，证实了我们代表性论著1报道的脂肪和肌肉组织中BCAA分解代谢障碍加重胰岛素抵抗的现象。</w:t>
      </w:r>
    </w:p>
    <w:p>
      <w:pPr>
        <w:pStyle w:val="3"/>
        <w:spacing w:line="276" w:lineRule="auto"/>
        <w:outlineLvl w:val="1"/>
        <w:rPr>
          <w:rFonts w:ascii="Times New Roman" w:eastAsia="仿宋" w:cs="Times New Roman"/>
        </w:rPr>
      </w:pPr>
      <w:r>
        <w:rPr>
          <w:rFonts w:ascii="Times New Roman" w:eastAsia="仿宋" w:cs="Times New Roman"/>
        </w:rPr>
        <w:t>3. 我们发表于EBioMedicine 2016（代表性论著2，被SCI他引66次）报道了BCAA蓄积会抑制肝脏脂质新生并促进白色脂肪组织脂质分解，破坏机体储脂功能，加重T2DM小鼠高脂血症、肝脏自噬流受阻和细胞损伤，被英国皇家学会院士、中国科学院外籍院士John R. Speakman教授引用（Cell Metab. 2021 May 4;33(5):888-904.e6）。John R. Speakman教授肯定了我们发现的BCAA通过激活肝脏mTOR信号导致肝细胞损伤。代表性论著2中有关BCAA蓄积降低体重的同时导致了肝细胞损伤的现象也被写入《Targeting autophagy in obesity: from pathophysiology to management》综述论文（Nat Rev Endocrinol. 2018 Jun;14(6):356-376）。</w:t>
      </w:r>
    </w:p>
    <w:p>
      <w:pPr>
        <w:pStyle w:val="3"/>
        <w:spacing w:line="276" w:lineRule="auto"/>
        <w:outlineLvl w:val="1"/>
        <w:rPr>
          <w:rFonts w:ascii="Times New Roman" w:eastAsia="仿宋" w:cs="Times New Roman"/>
        </w:rPr>
      </w:pPr>
      <w:r>
        <w:rPr>
          <w:rFonts w:ascii="Times New Roman" w:eastAsia="仿宋" w:cs="Times New Roman"/>
        </w:rPr>
        <w:t>3. 我们有关BCAA加重胰岛素抵抗和心肌损伤的系列工作，被《Insulin Resistance as a Risk Factor in Visceral and Neurological Disorders》一书多次引用。</w:t>
      </w:r>
    </w:p>
    <w:p>
      <w:pPr>
        <w:pStyle w:val="3"/>
        <w:spacing w:line="276" w:lineRule="auto"/>
        <w:ind w:firstLine="0" w:firstLineChars="0"/>
        <w:outlineLvl w:val="1"/>
        <w:rPr>
          <w:rFonts w:ascii="Times New Roman" w:eastAsia="仿宋" w:cs="Times New Roman"/>
        </w:rPr>
      </w:pPr>
    </w:p>
    <w:p>
      <w:pPr>
        <w:pStyle w:val="3"/>
        <w:spacing w:line="276" w:lineRule="auto"/>
        <w:ind w:firstLine="0" w:firstLineChars="0"/>
        <w:outlineLvl w:val="1"/>
        <w:rPr>
          <w:rFonts w:ascii="Times New Roman" w:eastAsia="仿宋" w:cs="Times New Roman"/>
        </w:rPr>
      </w:pPr>
      <w:r>
        <w:rPr>
          <w:rFonts w:ascii="Times New Roman" w:eastAsia="仿宋" w:cs="Times New Roman"/>
          <w:b/>
          <w:bCs/>
        </w:rPr>
        <w:t>二、针对科学发现-2的评述：</w:t>
      </w:r>
      <w:r>
        <w:rPr>
          <w:rFonts w:ascii="Times New Roman" w:eastAsia="仿宋" w:cs="Times New Roman"/>
        </w:rPr>
        <w:t>我们发表在Circulation 2016（代表性论著3，被SCI他引189次，ESI top 1%高被引论文）和Theranostics 2020（代表性论著4，被SCI他引19次）的两篇文章证实了BCAA降解通路障碍是压力负荷和心肌缺血所致的小鼠心衰模型中变化最显著的代谢通路，并首次报道了BCAA蓄积可导致心肌损伤。被下列同行所引用和评述：</w:t>
      </w:r>
    </w:p>
    <w:p>
      <w:pPr>
        <w:pStyle w:val="3"/>
        <w:spacing w:line="276" w:lineRule="auto"/>
        <w:outlineLvl w:val="1"/>
        <w:rPr>
          <w:rFonts w:ascii="Times New Roman" w:eastAsia="仿宋" w:cs="Times New Roman"/>
        </w:rPr>
      </w:pPr>
      <w:r>
        <w:rPr>
          <w:rFonts w:ascii="Times New Roman" w:eastAsia="仿宋" w:cs="Times New Roman"/>
        </w:rPr>
        <w:t>1. 国际知名生理学家、最早发现支链氨基酸与病理相关、美国Duke大学学者Christopher Newgard教授在Science综述《Branched-chain amino acids in disease》（Science. 2019 Feb 8;363(6427):582-583.）中，引用并讨论了代表性论著3中BCAA蓄积导致心肌损伤的工作。</w:t>
      </w:r>
    </w:p>
    <w:p>
      <w:pPr>
        <w:pStyle w:val="3"/>
        <w:spacing w:line="276" w:lineRule="auto"/>
        <w:outlineLvl w:val="1"/>
        <w:rPr>
          <w:rFonts w:ascii="Times New Roman" w:eastAsia="仿宋" w:cs="Times New Roman"/>
        </w:rPr>
      </w:pPr>
      <w:r>
        <w:rPr>
          <w:rFonts w:ascii="Times New Roman" w:eastAsia="仿宋" w:cs="Times New Roman"/>
        </w:rPr>
        <w:t>2. 美国宾夕法尼亚大学Zoltan Arany教授在发表于教科书级别的Annual Review of Physiology综述《Branched Chain Amino Acids》一文（Annu Rev Physiol. 2019 Feb 10;81:139-164.）中引用了我们的代表性论著3，称其有力地支持BCAA代谢改变在多种情况下导致心衰的观点。1年后，Zoltan Arany教授在发表于Science的研究《Comprehensive quantification of fuel use by the failing and nonfailing human heart.》 （Science. 2020 Oct 16;370(6514):364-368.）中，采用心衰患者的心肌组织样本重复出了我们发现的BCAA分解代谢障碍的现象，再次引用了我们的代表性论著3。</w:t>
      </w:r>
    </w:p>
    <w:p>
      <w:pPr>
        <w:pStyle w:val="3"/>
        <w:spacing w:line="276" w:lineRule="auto"/>
        <w:outlineLvl w:val="1"/>
        <w:rPr>
          <w:rFonts w:ascii="Times New Roman" w:eastAsia="仿宋" w:cs="Times New Roman"/>
        </w:rPr>
      </w:pPr>
      <w:r>
        <w:rPr>
          <w:rFonts w:ascii="Times New Roman" w:eastAsia="仿宋" w:cs="Times New Roman"/>
        </w:rPr>
        <w:t>3. 美国加利福尼亚大学旧金山分校Javid Moslehi教授和格罗宁根大学医学中心Rudolf A. de Boer教授共同在Nature Reviews Cardiology发表的综述论文《Cardio-onco-metabolism: metabolic remodelling in cardiovascular disease and cancer》（Nat Rev Cardiol. 2022 Jun;19(6):414-425.）中，将代表性论著3发现的心衰导致BCAA分解代谢异常的现象作为心血管疾病重要代谢特点之一进行引用。</w:t>
      </w:r>
    </w:p>
    <w:p>
      <w:pPr>
        <w:pStyle w:val="3"/>
        <w:spacing w:line="276" w:lineRule="auto"/>
        <w:outlineLvl w:val="1"/>
        <w:rPr>
          <w:rFonts w:ascii="Times New Roman" w:eastAsia="仿宋" w:cs="Times New Roman"/>
        </w:rPr>
      </w:pPr>
      <w:r>
        <w:rPr>
          <w:rFonts w:ascii="Times New Roman" w:eastAsia="仿宋" w:cs="Times New Roman"/>
        </w:rPr>
        <w:t>4. 美国杜克大学医学院Michael Felker教授和Douglas Mann教授在心脏领域最权威的教科书《Braunwald’s Heart Disease》的补充篇——《Heart Failure E-Book: A Companion to Braunwald’s Heart Disease》一书中引述了我们的代表性论著3，肯定了BCAA代谢紊乱与心衰的相关性。</w:t>
      </w:r>
    </w:p>
    <w:p>
      <w:pPr>
        <w:pStyle w:val="3"/>
        <w:spacing w:line="276" w:lineRule="auto"/>
        <w:outlineLvl w:val="1"/>
        <w:rPr>
          <w:rFonts w:ascii="Times New Roman" w:eastAsia="仿宋" w:cs="Times New Roman"/>
        </w:rPr>
      </w:pPr>
      <w:r>
        <w:rPr>
          <w:rFonts w:ascii="Times New Roman" w:eastAsia="仿宋" w:cs="Times New Roman"/>
        </w:rPr>
        <w:t>5. 荷兰阿姆斯特丹UMC临床和实验心脏病学系心脏中心Carol Ann Remme教授在发表于Cardiovascular Research上的论文《Chronically elevated branched chain amino acid levels are pro-arrhythmic》（doi: 10.1093/cvr/cvab207.）中引用了我们的代表性论著4，肯定了BCAA增高加重心肌损伤的现象。</w:t>
      </w:r>
    </w:p>
    <w:p>
      <w:pPr>
        <w:pStyle w:val="3"/>
        <w:spacing w:line="276" w:lineRule="auto"/>
        <w:outlineLvl w:val="1"/>
        <w:rPr>
          <w:rFonts w:ascii="Times New Roman" w:eastAsia="仿宋" w:cs="Times New Roman"/>
        </w:rPr>
      </w:pPr>
    </w:p>
    <w:p>
      <w:pPr>
        <w:pStyle w:val="15"/>
        <w:spacing w:line="276" w:lineRule="auto"/>
        <w:ind w:firstLine="0" w:firstLineChars="0"/>
        <w:rPr>
          <w:rFonts w:ascii="Times New Roman" w:eastAsia="仿宋"/>
          <w:color w:val="333333"/>
          <w:szCs w:val="24"/>
          <w:shd w:val="clear" w:color="auto" w:fill="FFFFFF"/>
        </w:rPr>
      </w:pPr>
      <w:r>
        <w:rPr>
          <w:rFonts w:ascii="Times New Roman" w:eastAsia="仿宋"/>
          <w:b/>
          <w:bCs/>
          <w:szCs w:val="22"/>
        </w:rPr>
        <w:t>三、针对科学发现-3的评述：</w:t>
      </w:r>
      <w:r>
        <w:rPr>
          <w:rFonts w:ascii="Times New Roman" w:eastAsia="仿宋"/>
          <w:szCs w:val="22"/>
        </w:rPr>
        <w:t>我们发表在Circ Res 2020（代表性论著5，被SCI他引24次）的工作发现了</w:t>
      </w:r>
      <w:r>
        <w:rPr>
          <w:rFonts w:ascii="Times New Roman" w:eastAsia="仿宋"/>
          <w:szCs w:val="24"/>
          <w:shd w:val="clear" w:color="auto" w:fill="FFFFFF"/>
        </w:rPr>
        <w:t>脂联素类似物CTRP9激活脂联素受体/AMPK信号，并鉴定了其新受体N-cadherin，比脂联素受</w:t>
      </w:r>
      <w:r>
        <w:rPr>
          <w:rFonts w:ascii="Times New Roman" w:eastAsia="仿宋"/>
          <w:color w:val="333333"/>
          <w:szCs w:val="24"/>
          <w:shd w:val="clear" w:color="auto" w:fill="FFFFFF"/>
        </w:rPr>
        <w:t>体T-cadherin发挥更强的心肌保护作用。</w:t>
      </w:r>
    </w:p>
    <w:p>
      <w:pPr>
        <w:pStyle w:val="15"/>
        <w:spacing w:line="276" w:lineRule="auto"/>
        <w:ind w:firstLine="0" w:firstLineChars="0"/>
        <w:rPr>
          <w:rFonts w:ascii="Times New Roman" w:eastAsia="仿宋"/>
          <w:color w:val="333333"/>
          <w:szCs w:val="24"/>
          <w:shd w:val="clear" w:color="auto" w:fill="FFFFFF"/>
        </w:rPr>
      </w:pPr>
      <w:r>
        <w:rPr>
          <w:rFonts w:ascii="Times New Roman" w:eastAsia="仿宋"/>
          <w:color w:val="333333"/>
          <w:szCs w:val="24"/>
          <w:shd w:val="clear" w:color="auto" w:fill="FFFFFF"/>
        </w:rPr>
        <w:t>1. 美国密苏里大学Alan Parrish教授高度评价我们发表于Circ Res 2020（代表性论著5）的工作，称我们采用创新性的在体研究方法，展示了重要的发现，并推荐为F1000Prime阅读。</w:t>
      </w:r>
    </w:p>
    <w:p>
      <w:pPr>
        <w:pStyle w:val="15"/>
        <w:spacing w:line="276" w:lineRule="auto"/>
        <w:ind w:firstLine="0" w:firstLineChars="0"/>
        <w:rPr>
          <w:rFonts w:ascii="Times New Roman" w:eastAsia="仿宋"/>
          <w:sz w:val="32"/>
        </w:rPr>
      </w:pPr>
      <w:r>
        <w:rPr>
          <w:rFonts w:ascii="Times New Roman" w:eastAsia="仿宋"/>
          <w:color w:val="333333"/>
          <w:szCs w:val="24"/>
          <w:shd w:val="clear" w:color="auto" w:fill="FFFFFF"/>
        </w:rPr>
        <w:t>2. 英国伦敦大学学院哈特心血管研究所Sean M Davidson教授将我们的代表性论著5写入最新的心脏研究进展综述论文《Progress in cardiac research: from rebooting cardiac regeneration to a complete cell atlas of the heart》（Cardiovasc Res. 2021 Aug 29;117(10):2161-2174.）中。</w:t>
      </w:r>
    </w:p>
    <w:p>
      <w:pPr>
        <w:widowControl/>
        <w:spacing w:line="276" w:lineRule="auto"/>
        <w:jc w:val="left"/>
        <w:rPr>
          <w:rFonts w:ascii="Times New Roman" w:hAnsi="Times New Roman" w:eastAsia="仿宋" w:cs="Times New Roman"/>
          <w:sz w:val="32"/>
        </w:rPr>
      </w:pPr>
      <w:r>
        <w:rPr>
          <w:rFonts w:ascii="Times New Roman" w:hAnsi="Times New Roman" w:eastAsia="仿宋" w:cs="Times New Roman"/>
          <w:sz w:val="32"/>
        </w:rPr>
        <w:br w:type="page"/>
      </w:r>
    </w:p>
    <w:p>
      <w:pPr>
        <w:rPr>
          <w:rFonts w:ascii="仿宋_GB2312" w:eastAsia="仿宋_GB2312"/>
          <w:sz w:val="32"/>
        </w:rPr>
      </w:pPr>
      <w:r>
        <w:rPr>
          <w:rFonts w:hint="eastAsia" w:ascii="仿宋_GB2312" w:eastAsia="仿宋_GB2312"/>
          <w:sz w:val="32"/>
        </w:rPr>
        <w:t>八、代表性论文专著目录</w:t>
      </w:r>
    </w:p>
    <w:p>
      <w:pPr>
        <w:pStyle w:val="9"/>
        <w:ind w:left="420" w:firstLine="0" w:firstLineChars="0"/>
        <w:rPr>
          <w:rFonts w:ascii="仿宋_GB2312" w:eastAsia="仿宋_GB2312"/>
          <w:bCs/>
          <w:spacing w:val="2"/>
          <w:sz w:val="24"/>
        </w:rPr>
      </w:pPr>
    </w:p>
    <w:tbl>
      <w:tblPr>
        <w:tblStyle w:val="6"/>
        <w:tblW w:w="8876" w:type="dxa"/>
        <w:tblInd w:w="0" w:type="dxa"/>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418"/>
        <w:gridCol w:w="1250"/>
        <w:gridCol w:w="708"/>
        <w:gridCol w:w="1418"/>
        <w:gridCol w:w="709"/>
        <w:gridCol w:w="567"/>
        <w:gridCol w:w="567"/>
        <w:gridCol w:w="708"/>
        <w:gridCol w:w="788"/>
        <w:gridCol w:w="533"/>
        <w:gridCol w:w="533"/>
        <w:gridCol w:w="677"/>
      </w:tblGrid>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41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序号</w:t>
            </w:r>
          </w:p>
        </w:tc>
        <w:tc>
          <w:tcPr>
            <w:tcW w:w="125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论文专著</w:t>
            </w:r>
          </w:p>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 xml:space="preserve">名称 </w:t>
            </w:r>
          </w:p>
        </w:tc>
        <w:tc>
          <w:tcPr>
            <w:tcW w:w="708"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sz w:val="21"/>
                <w:szCs w:val="21"/>
              </w:rPr>
              <w:t>刊名</w:t>
            </w:r>
          </w:p>
        </w:tc>
        <w:tc>
          <w:tcPr>
            <w:tcW w:w="141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作者</w:t>
            </w:r>
          </w:p>
        </w:tc>
        <w:tc>
          <w:tcPr>
            <w:tcW w:w="70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年卷页码（xx年xx卷xx页）</w:t>
            </w:r>
          </w:p>
        </w:tc>
        <w:tc>
          <w:tcPr>
            <w:tcW w:w="56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发表时间</w:t>
            </w:r>
            <w:r>
              <w:rPr>
                <w:rFonts w:ascii="Times New Roman" w:eastAsia="黑体"/>
                <w:sz w:val="21"/>
                <w:szCs w:val="28"/>
              </w:rPr>
              <w:t>（</w:t>
            </w:r>
            <w:r>
              <w:rPr>
                <w:rFonts w:ascii="Times New Roman"/>
                <w:sz w:val="21"/>
                <w:szCs w:val="28"/>
              </w:rPr>
              <w:t>年月 日）</w:t>
            </w:r>
          </w:p>
        </w:tc>
        <w:tc>
          <w:tcPr>
            <w:tcW w:w="56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通讯作者</w:t>
            </w:r>
            <w:r>
              <w:rPr>
                <w:rFonts w:ascii="Times New Roman"/>
                <w:sz w:val="21"/>
                <w:szCs w:val="28"/>
              </w:rPr>
              <w:t>（含共同）</w:t>
            </w:r>
          </w:p>
        </w:tc>
        <w:tc>
          <w:tcPr>
            <w:tcW w:w="70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第一作者</w:t>
            </w:r>
            <w:r>
              <w:rPr>
                <w:rFonts w:ascii="Times New Roman"/>
                <w:sz w:val="21"/>
                <w:szCs w:val="28"/>
              </w:rPr>
              <w:t>（含共同）</w:t>
            </w:r>
          </w:p>
        </w:tc>
        <w:tc>
          <w:tcPr>
            <w:tcW w:w="78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国内作者</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他引总次数</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检索数据库</w:t>
            </w:r>
          </w:p>
        </w:tc>
        <w:tc>
          <w:tcPr>
            <w:tcW w:w="67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知识产权是否归国内所有</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181" w:hRule="atLeast"/>
        </w:trPr>
        <w:tc>
          <w:tcPr>
            <w:tcW w:w="41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1</w:t>
            </w:r>
          </w:p>
        </w:tc>
        <w:tc>
          <w:tcPr>
            <w:tcW w:w="1250"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rPr>
              <w:t>Impaired Adiponectin Signaling Contributes to Disturbed Catabolism of Branched-Chain Amino Acids in Diabetic Mice</w:t>
            </w:r>
          </w:p>
        </w:tc>
        <w:tc>
          <w:tcPr>
            <w:tcW w:w="708" w:type="dxa"/>
            <w:vAlign w:val="center"/>
          </w:tcPr>
          <w:p>
            <w:pPr>
              <w:pStyle w:val="3"/>
              <w:adjustRightInd w:val="0"/>
              <w:spacing w:after="50" w:line="240" w:lineRule="auto"/>
              <w:ind w:firstLine="0" w:firstLineChars="0"/>
              <w:outlineLvl w:val="1"/>
              <w:rPr>
                <w:rFonts w:ascii="Times New Roman"/>
                <w:sz w:val="21"/>
                <w:szCs w:val="21"/>
              </w:rPr>
            </w:pPr>
            <w:r>
              <w:rPr>
                <w:rFonts w:hint="eastAsia" w:ascii="Times New Roman"/>
                <w:sz w:val="21"/>
                <w:szCs w:val="21"/>
              </w:rPr>
              <w:t>Diabetes</w:t>
            </w:r>
          </w:p>
        </w:tc>
        <w:tc>
          <w:tcPr>
            <w:tcW w:w="141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Lian Kun, Du Chaosheng, Liu Yi, Zhu Di, Yan Wenjun, Zhang Haifeng, Hong Zhibo, Liu Peilin, Zhang Lijian, Pei Haifeng, Zhang Jinglong, Gao Chao, Xin Chao, Cheng Hexiang, Xiong Lize, Tao Ling</w:t>
            </w:r>
          </w:p>
        </w:tc>
        <w:tc>
          <w:tcPr>
            <w:tcW w:w="70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2015;64(1):49-59.</w:t>
            </w:r>
          </w:p>
        </w:tc>
        <w:tc>
          <w:tcPr>
            <w:tcW w:w="567" w:type="dxa"/>
            <w:vAlign w:val="center"/>
          </w:tcPr>
          <w:p>
            <w:pPr>
              <w:rPr>
                <w:szCs w:val="21"/>
              </w:rPr>
            </w:pPr>
            <w:r>
              <w:rPr>
                <w:szCs w:val="21"/>
              </w:rPr>
              <w:t>2014</w:t>
            </w:r>
            <w:r>
              <w:rPr>
                <w:rFonts w:hint="eastAsia"/>
                <w:szCs w:val="21"/>
              </w:rPr>
              <w:t>年</w:t>
            </w:r>
            <w:r>
              <w:rPr>
                <w:szCs w:val="21"/>
              </w:rPr>
              <w:t>7</w:t>
            </w:r>
            <w:r>
              <w:rPr>
                <w:rFonts w:hint="eastAsia"/>
                <w:szCs w:val="21"/>
              </w:rPr>
              <w:t>月</w:t>
            </w:r>
            <w:r>
              <w:rPr>
                <w:szCs w:val="21"/>
              </w:rPr>
              <w:t>28</w:t>
            </w:r>
            <w:r>
              <w:rPr>
                <w:rFonts w:hint="eastAsia"/>
                <w:szCs w:val="21"/>
              </w:rPr>
              <w:t>日</w:t>
            </w:r>
          </w:p>
        </w:tc>
        <w:tc>
          <w:tcPr>
            <w:tcW w:w="56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Tao Ling</w:t>
            </w:r>
          </w:p>
        </w:tc>
        <w:tc>
          <w:tcPr>
            <w:tcW w:w="70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Lian Kun, Du Chaosheng, Liu Yi</w:t>
            </w:r>
          </w:p>
        </w:tc>
        <w:tc>
          <w:tcPr>
            <w:tcW w:w="788"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廉坤，杜朝升，刘毅，朱迪，闫文俊，张海锋，洪志博，刘佩林，张立剑，裴海峰，张静隆，高超，辛超，程何祥，熊立泽，陶凌</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44</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SCI（科学引文索引）</w:t>
            </w:r>
          </w:p>
        </w:tc>
        <w:tc>
          <w:tcPr>
            <w:tcW w:w="67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345" w:hRule="exact"/>
        </w:trPr>
        <w:tc>
          <w:tcPr>
            <w:tcW w:w="41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2</w:t>
            </w:r>
          </w:p>
        </w:tc>
        <w:tc>
          <w:tcPr>
            <w:tcW w:w="1250" w:type="dxa"/>
            <w:vAlign w:val="center"/>
          </w:tcPr>
          <w:p>
            <w:pPr>
              <w:pStyle w:val="3"/>
              <w:adjustRightInd w:val="0"/>
              <w:spacing w:after="50" w:line="240" w:lineRule="auto"/>
              <w:ind w:firstLine="0" w:firstLineChars="0"/>
              <w:jc w:val="center"/>
              <w:outlineLvl w:val="1"/>
              <w:rPr>
                <w:rFonts w:ascii="Times New Roman"/>
                <w:sz w:val="21"/>
              </w:rPr>
            </w:pPr>
            <w:r>
              <w:rPr>
                <w:rFonts w:ascii="Times New Roman"/>
                <w:sz w:val="21"/>
              </w:rPr>
              <w:t>Branched Chain Amino Acids Cause Liver Injury in Obese/Diabetic Mice by Promoting Adipocyte Lipolysis and Inhibiting Hepatic Autophagy</w:t>
            </w:r>
          </w:p>
        </w:tc>
        <w:tc>
          <w:tcPr>
            <w:tcW w:w="708"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sz w:val="21"/>
                <w:szCs w:val="21"/>
              </w:rPr>
              <w:t>EBioMedicine</w:t>
            </w:r>
          </w:p>
        </w:tc>
        <w:tc>
          <w:tcPr>
            <w:tcW w:w="141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Zhang Fuyang, Zhao Shihao, Yan Wenjun, Xia Yunlong, Chen Xiyao, Wang Wei, Zhang Jinglong, Gao Chao, Peng Cheng, Yan Feng, Zhao Huishou, Lian Kun, Lee Yan, Zhang Ling, Lau Wayne Bond, Ma Xinliang, Tao Ling</w:t>
            </w:r>
          </w:p>
        </w:tc>
        <w:tc>
          <w:tcPr>
            <w:tcW w:w="70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2016;13:157-167.</w:t>
            </w:r>
          </w:p>
        </w:tc>
        <w:tc>
          <w:tcPr>
            <w:tcW w:w="567" w:type="dxa"/>
            <w:vAlign w:val="center"/>
          </w:tcPr>
          <w:p>
            <w:pPr>
              <w:rPr>
                <w:szCs w:val="21"/>
              </w:rPr>
            </w:pPr>
            <w:r>
              <w:rPr>
                <w:rFonts w:hint="eastAsia"/>
                <w:szCs w:val="21"/>
              </w:rPr>
              <w:t>2</w:t>
            </w:r>
            <w:r>
              <w:rPr>
                <w:szCs w:val="21"/>
              </w:rPr>
              <w:t>016</w:t>
            </w:r>
            <w:r>
              <w:rPr>
                <w:rFonts w:hint="eastAsia"/>
                <w:szCs w:val="21"/>
              </w:rPr>
              <w:t>年1</w:t>
            </w:r>
            <w:r>
              <w:rPr>
                <w:szCs w:val="21"/>
              </w:rPr>
              <w:t>0</w:t>
            </w:r>
            <w:r>
              <w:rPr>
                <w:rFonts w:hint="eastAsia"/>
                <w:szCs w:val="21"/>
              </w:rPr>
              <w:t>月1</w:t>
            </w:r>
            <w:r>
              <w:rPr>
                <w:szCs w:val="21"/>
              </w:rPr>
              <w:t>1</w:t>
            </w:r>
            <w:r>
              <w:rPr>
                <w:rFonts w:hint="eastAsia"/>
                <w:szCs w:val="21"/>
              </w:rPr>
              <w:t>日</w:t>
            </w:r>
          </w:p>
        </w:tc>
        <w:tc>
          <w:tcPr>
            <w:tcW w:w="56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Tao Ling</w:t>
            </w:r>
          </w:p>
        </w:tc>
        <w:tc>
          <w:tcPr>
            <w:tcW w:w="70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Zhang Fuyang, Zhao Shihao, Yan Wenjun</w:t>
            </w:r>
          </w:p>
        </w:tc>
        <w:tc>
          <w:tcPr>
            <w:tcW w:w="788"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张富洋，赵施皓，闫文俊，夏云龙，陈希瑶，王维，张静隆，高超，彭程，闫凤，赵会寿，廉坤，李燕，张玲，陶凌</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66</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SCI（科学引文索引）</w:t>
            </w:r>
          </w:p>
        </w:tc>
        <w:tc>
          <w:tcPr>
            <w:tcW w:w="67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628" w:hRule="exact"/>
        </w:trPr>
        <w:tc>
          <w:tcPr>
            <w:tcW w:w="41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3</w:t>
            </w:r>
          </w:p>
        </w:tc>
        <w:tc>
          <w:tcPr>
            <w:tcW w:w="1250" w:type="dxa"/>
            <w:vAlign w:val="center"/>
          </w:tcPr>
          <w:p>
            <w:pPr>
              <w:pStyle w:val="3"/>
              <w:adjustRightInd w:val="0"/>
              <w:spacing w:after="50" w:line="240" w:lineRule="auto"/>
              <w:ind w:firstLine="0" w:firstLineChars="0"/>
              <w:jc w:val="center"/>
              <w:outlineLvl w:val="1"/>
              <w:rPr>
                <w:rFonts w:ascii="Times New Roman"/>
                <w:sz w:val="21"/>
              </w:rPr>
            </w:pPr>
            <w:r>
              <w:rPr>
                <w:rFonts w:ascii="Times New Roman"/>
                <w:sz w:val="21"/>
              </w:rPr>
              <w:t>Catabolic Defect of Branched-Chain Amino Acids Promotes Heart Failure</w:t>
            </w:r>
          </w:p>
        </w:tc>
        <w:tc>
          <w:tcPr>
            <w:tcW w:w="708" w:type="dxa"/>
            <w:vAlign w:val="center"/>
          </w:tcPr>
          <w:p>
            <w:pPr>
              <w:pStyle w:val="3"/>
              <w:adjustRightInd w:val="0"/>
              <w:spacing w:after="50" w:line="240" w:lineRule="auto"/>
              <w:ind w:firstLine="0" w:firstLineChars="0"/>
              <w:outlineLvl w:val="1"/>
              <w:rPr>
                <w:rFonts w:ascii="Times New Roman"/>
                <w:sz w:val="21"/>
                <w:szCs w:val="21"/>
              </w:rPr>
            </w:pPr>
            <w:r>
              <w:rPr>
                <w:rFonts w:hint="eastAsia" w:ascii="Times New Roman"/>
                <w:sz w:val="21"/>
                <w:szCs w:val="21"/>
              </w:rPr>
              <w:t>Circulation</w:t>
            </w:r>
          </w:p>
        </w:tc>
        <w:tc>
          <w:tcPr>
            <w:tcW w:w="1418"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S</w:t>
            </w:r>
            <w:r>
              <w:rPr>
                <w:rFonts w:ascii="Times New Roman"/>
                <w:sz w:val="21"/>
                <w:szCs w:val="21"/>
              </w:rPr>
              <w:t>un Haipeng</w:t>
            </w:r>
            <w:r>
              <w:rPr>
                <w:rFonts w:hint="eastAsia" w:ascii="Times New Roman"/>
                <w:sz w:val="21"/>
                <w:szCs w:val="21"/>
              </w:rPr>
              <w:t>，</w:t>
            </w:r>
            <w:r>
              <w:rPr>
                <w:rFonts w:ascii="Times New Roman"/>
                <w:sz w:val="21"/>
                <w:szCs w:val="21"/>
              </w:rPr>
              <w:t>Olson Kristine C</w:t>
            </w:r>
            <w:r>
              <w:rPr>
                <w:rFonts w:hint="eastAsia" w:ascii="Times New Roman"/>
                <w:sz w:val="21"/>
                <w:szCs w:val="21"/>
              </w:rPr>
              <w:t>，</w:t>
            </w:r>
            <w:r>
              <w:rPr>
                <w:rFonts w:ascii="Times New Roman"/>
                <w:sz w:val="21"/>
                <w:szCs w:val="21"/>
              </w:rPr>
              <w:t>Gao Chen</w:t>
            </w:r>
            <w:r>
              <w:rPr>
                <w:rFonts w:hint="eastAsia" w:ascii="Times New Roman"/>
                <w:sz w:val="21"/>
                <w:szCs w:val="21"/>
              </w:rPr>
              <w:t>，</w:t>
            </w:r>
            <w:r>
              <w:rPr>
                <w:rFonts w:ascii="Times New Roman"/>
                <w:sz w:val="21"/>
                <w:szCs w:val="21"/>
              </w:rPr>
              <w:t>Prosdocimo Domenick A</w:t>
            </w:r>
            <w:r>
              <w:rPr>
                <w:rFonts w:hint="eastAsia" w:ascii="Times New Roman"/>
                <w:sz w:val="21"/>
                <w:szCs w:val="21"/>
              </w:rPr>
              <w:t>，Z</w:t>
            </w:r>
            <w:r>
              <w:rPr>
                <w:rFonts w:ascii="Times New Roman"/>
                <w:sz w:val="21"/>
                <w:szCs w:val="21"/>
              </w:rPr>
              <w:t>hou Meiyi</w:t>
            </w:r>
            <w:r>
              <w:rPr>
                <w:rFonts w:hint="eastAsia" w:ascii="Times New Roman"/>
                <w:sz w:val="21"/>
                <w:szCs w:val="21"/>
              </w:rPr>
              <w:t>，</w:t>
            </w:r>
            <w:r>
              <w:rPr>
                <w:rFonts w:ascii="Times New Roman"/>
                <w:sz w:val="21"/>
                <w:szCs w:val="21"/>
              </w:rPr>
              <w:t>Wang Zhihua</w:t>
            </w:r>
            <w:r>
              <w:rPr>
                <w:rFonts w:hint="eastAsia" w:ascii="Times New Roman"/>
                <w:sz w:val="21"/>
                <w:szCs w:val="21"/>
              </w:rPr>
              <w:t>，</w:t>
            </w:r>
            <w:r>
              <w:rPr>
                <w:rFonts w:ascii="Times New Roman"/>
                <w:sz w:val="21"/>
                <w:szCs w:val="21"/>
              </w:rPr>
              <w:t>Jeyaraj Darwin</w:t>
            </w:r>
            <w:r>
              <w:rPr>
                <w:rFonts w:hint="eastAsia" w:ascii="Times New Roman"/>
                <w:sz w:val="21"/>
                <w:szCs w:val="21"/>
              </w:rPr>
              <w:t>，</w:t>
            </w:r>
            <w:r>
              <w:rPr>
                <w:rFonts w:ascii="Times New Roman"/>
                <w:sz w:val="21"/>
                <w:szCs w:val="21"/>
              </w:rPr>
              <w:t>Youn Ji-Youn</w:t>
            </w:r>
            <w:r>
              <w:rPr>
                <w:rFonts w:hint="eastAsia" w:ascii="Times New Roman"/>
                <w:sz w:val="21"/>
                <w:szCs w:val="21"/>
              </w:rPr>
              <w:t>，</w:t>
            </w:r>
            <w:r>
              <w:rPr>
                <w:rFonts w:ascii="Times New Roman"/>
                <w:sz w:val="21"/>
                <w:szCs w:val="21"/>
              </w:rPr>
              <w:t>Ren Shuxun</w:t>
            </w:r>
            <w:r>
              <w:rPr>
                <w:rFonts w:hint="eastAsia" w:ascii="Times New Roman"/>
                <w:sz w:val="21"/>
                <w:szCs w:val="21"/>
              </w:rPr>
              <w:t>，L</w:t>
            </w:r>
            <w:r>
              <w:rPr>
                <w:rFonts w:ascii="Times New Roman"/>
                <w:sz w:val="21"/>
                <w:szCs w:val="21"/>
              </w:rPr>
              <w:t>iu Yunxia</w:t>
            </w:r>
            <w:r>
              <w:rPr>
                <w:rFonts w:hint="eastAsia" w:ascii="Times New Roman"/>
                <w:sz w:val="21"/>
                <w:szCs w:val="21"/>
              </w:rPr>
              <w:t>，</w:t>
            </w:r>
            <w:r>
              <w:rPr>
                <w:rFonts w:ascii="Times New Roman"/>
                <w:sz w:val="21"/>
                <w:szCs w:val="21"/>
              </w:rPr>
              <w:t>Rau, Christoph D.; Shah Svati</w:t>
            </w:r>
            <w:r>
              <w:rPr>
                <w:rFonts w:hint="eastAsia" w:ascii="Times New Roman"/>
                <w:sz w:val="21"/>
                <w:szCs w:val="21"/>
              </w:rPr>
              <w:t>，</w:t>
            </w:r>
            <w:r>
              <w:rPr>
                <w:rFonts w:ascii="Times New Roman"/>
                <w:sz w:val="21"/>
                <w:szCs w:val="21"/>
              </w:rPr>
              <w:t>Ilkayeva Olga</w:t>
            </w:r>
            <w:r>
              <w:rPr>
                <w:rFonts w:hint="eastAsia" w:ascii="Times New Roman"/>
                <w:sz w:val="21"/>
                <w:szCs w:val="21"/>
              </w:rPr>
              <w:t>，</w:t>
            </w:r>
            <w:r>
              <w:rPr>
                <w:rFonts w:ascii="Times New Roman"/>
                <w:sz w:val="21"/>
                <w:szCs w:val="21"/>
              </w:rPr>
              <w:t>Gui Wen-Jun</w:t>
            </w:r>
            <w:r>
              <w:rPr>
                <w:rFonts w:hint="eastAsia" w:ascii="Times New Roman"/>
                <w:sz w:val="21"/>
                <w:szCs w:val="21"/>
              </w:rPr>
              <w:t>，</w:t>
            </w:r>
            <w:r>
              <w:rPr>
                <w:rFonts w:ascii="Times New Roman"/>
                <w:sz w:val="21"/>
                <w:szCs w:val="21"/>
              </w:rPr>
              <w:t>William Noelle S</w:t>
            </w:r>
            <w:r>
              <w:rPr>
                <w:rFonts w:hint="eastAsia" w:ascii="Times New Roman"/>
                <w:sz w:val="21"/>
                <w:szCs w:val="21"/>
              </w:rPr>
              <w:t>，</w:t>
            </w:r>
            <w:r>
              <w:rPr>
                <w:rFonts w:ascii="Times New Roman"/>
                <w:sz w:val="21"/>
                <w:szCs w:val="21"/>
              </w:rPr>
              <w:t>Wynn R. Max</w:t>
            </w:r>
            <w:r>
              <w:rPr>
                <w:rFonts w:hint="eastAsia" w:ascii="Times New Roman"/>
                <w:sz w:val="21"/>
                <w:szCs w:val="21"/>
              </w:rPr>
              <w:t>，</w:t>
            </w:r>
            <w:r>
              <w:rPr>
                <w:rFonts w:ascii="Times New Roman"/>
                <w:sz w:val="21"/>
                <w:szCs w:val="21"/>
              </w:rPr>
              <w:t>Newgard, Christopher B.</w:t>
            </w:r>
            <w:r>
              <w:rPr>
                <w:rFonts w:hint="eastAsia" w:ascii="Times New Roman"/>
                <w:sz w:val="21"/>
                <w:szCs w:val="21"/>
              </w:rPr>
              <w:t>，</w:t>
            </w:r>
            <w:r>
              <w:rPr>
                <w:rFonts w:ascii="Times New Roman"/>
                <w:sz w:val="21"/>
                <w:szCs w:val="21"/>
              </w:rPr>
              <w:t>Cai Hua</w:t>
            </w:r>
            <w:r>
              <w:rPr>
                <w:rFonts w:hint="eastAsia" w:ascii="Times New Roman"/>
                <w:sz w:val="21"/>
                <w:szCs w:val="21"/>
              </w:rPr>
              <w:t>，</w:t>
            </w:r>
            <w:r>
              <w:rPr>
                <w:rFonts w:ascii="Times New Roman"/>
                <w:sz w:val="21"/>
                <w:szCs w:val="21"/>
              </w:rPr>
              <w:t>Xiao Xinshu</w:t>
            </w:r>
            <w:r>
              <w:rPr>
                <w:rFonts w:hint="eastAsia" w:ascii="Times New Roman"/>
                <w:sz w:val="21"/>
                <w:szCs w:val="21"/>
              </w:rPr>
              <w:t>，</w:t>
            </w:r>
            <w:r>
              <w:rPr>
                <w:rFonts w:ascii="Times New Roman"/>
                <w:sz w:val="21"/>
                <w:szCs w:val="21"/>
              </w:rPr>
              <w:t>Chuang David T.</w:t>
            </w:r>
            <w:r>
              <w:rPr>
                <w:rFonts w:hint="eastAsia" w:ascii="Times New Roman"/>
                <w:sz w:val="21"/>
                <w:szCs w:val="21"/>
              </w:rPr>
              <w:t>，</w:t>
            </w:r>
            <w:r>
              <w:rPr>
                <w:rFonts w:ascii="Times New Roman"/>
                <w:sz w:val="21"/>
                <w:szCs w:val="21"/>
              </w:rPr>
              <w:t>Schulze Paul Christian</w:t>
            </w:r>
            <w:r>
              <w:rPr>
                <w:rFonts w:hint="eastAsia" w:ascii="Times New Roman"/>
                <w:sz w:val="21"/>
                <w:szCs w:val="21"/>
              </w:rPr>
              <w:t>，</w:t>
            </w:r>
            <w:r>
              <w:rPr>
                <w:rFonts w:ascii="Times New Roman"/>
                <w:sz w:val="21"/>
                <w:szCs w:val="21"/>
              </w:rPr>
              <w:t>Lynch Christopher</w:t>
            </w:r>
            <w:r>
              <w:rPr>
                <w:rFonts w:hint="eastAsia" w:ascii="Times New Roman"/>
                <w:sz w:val="21"/>
                <w:szCs w:val="21"/>
              </w:rPr>
              <w:t>，</w:t>
            </w:r>
            <w:r>
              <w:rPr>
                <w:rFonts w:ascii="Times New Roman"/>
                <w:sz w:val="21"/>
                <w:szCs w:val="21"/>
              </w:rPr>
              <w:t>Jain Mukesh K</w:t>
            </w:r>
            <w:r>
              <w:rPr>
                <w:rFonts w:hint="eastAsia" w:ascii="Times New Roman"/>
                <w:sz w:val="21"/>
                <w:szCs w:val="21"/>
              </w:rPr>
              <w:t>，</w:t>
            </w:r>
            <w:r>
              <w:rPr>
                <w:rFonts w:ascii="Times New Roman"/>
                <w:sz w:val="21"/>
                <w:szCs w:val="21"/>
              </w:rPr>
              <w:t>Wang Yibin</w:t>
            </w:r>
          </w:p>
        </w:tc>
        <w:tc>
          <w:tcPr>
            <w:tcW w:w="70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2016;133(21):2038-49.</w:t>
            </w:r>
          </w:p>
        </w:tc>
        <w:tc>
          <w:tcPr>
            <w:tcW w:w="567" w:type="dxa"/>
            <w:vAlign w:val="center"/>
          </w:tcPr>
          <w:p>
            <w:pPr>
              <w:rPr>
                <w:szCs w:val="21"/>
              </w:rPr>
            </w:pPr>
            <w:r>
              <w:rPr>
                <w:rFonts w:hint="eastAsia"/>
                <w:szCs w:val="21"/>
              </w:rPr>
              <w:t>2</w:t>
            </w:r>
            <w:r>
              <w:rPr>
                <w:szCs w:val="21"/>
              </w:rPr>
              <w:t>016</w:t>
            </w:r>
            <w:r>
              <w:rPr>
                <w:rFonts w:hint="eastAsia"/>
                <w:szCs w:val="21"/>
              </w:rPr>
              <w:t>年</w:t>
            </w:r>
            <w:r>
              <w:rPr>
                <w:szCs w:val="21"/>
              </w:rPr>
              <w:t>5</w:t>
            </w:r>
            <w:r>
              <w:rPr>
                <w:rFonts w:hint="eastAsia"/>
                <w:szCs w:val="21"/>
              </w:rPr>
              <w:t>月2</w:t>
            </w:r>
            <w:r>
              <w:rPr>
                <w:szCs w:val="21"/>
              </w:rPr>
              <w:t>4</w:t>
            </w:r>
            <w:r>
              <w:rPr>
                <w:rFonts w:hint="eastAsia"/>
                <w:szCs w:val="21"/>
              </w:rPr>
              <w:t>日</w:t>
            </w:r>
          </w:p>
        </w:tc>
        <w:tc>
          <w:tcPr>
            <w:tcW w:w="56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Wang Yibin</w:t>
            </w:r>
            <w:r>
              <w:rPr>
                <w:rFonts w:hint="eastAsia" w:ascii="Times New Roman"/>
                <w:sz w:val="21"/>
                <w:szCs w:val="21"/>
              </w:rPr>
              <w:t>，</w:t>
            </w:r>
            <w:r>
              <w:rPr>
                <w:rFonts w:ascii="Times New Roman"/>
                <w:sz w:val="21"/>
                <w:szCs w:val="21"/>
              </w:rPr>
              <w:t>Jain Mukesh K</w:t>
            </w:r>
          </w:p>
        </w:tc>
        <w:tc>
          <w:tcPr>
            <w:tcW w:w="708"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S</w:t>
            </w:r>
            <w:r>
              <w:rPr>
                <w:rFonts w:ascii="Times New Roman"/>
                <w:sz w:val="21"/>
                <w:szCs w:val="21"/>
              </w:rPr>
              <w:t>un Haipeng</w:t>
            </w:r>
          </w:p>
        </w:tc>
        <w:tc>
          <w:tcPr>
            <w:tcW w:w="788"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孙海鹏，周美佚</w:t>
            </w:r>
            <w:r>
              <w:rPr>
                <w:rFonts w:ascii="Times New Roman"/>
                <w:sz w:val="21"/>
                <w:szCs w:val="21"/>
              </w:rPr>
              <w:t>,</w:t>
            </w:r>
            <w:r>
              <w:rPr>
                <w:rFonts w:hint="eastAsia" w:ascii="Times New Roman"/>
                <w:sz w:val="21"/>
                <w:szCs w:val="21"/>
              </w:rPr>
              <w:t xml:space="preserve"> 刘云霞，王义斌</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189</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SCI（科学引文索引）</w:t>
            </w:r>
          </w:p>
        </w:tc>
        <w:tc>
          <w:tcPr>
            <w:tcW w:w="67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832" w:hRule="exact"/>
        </w:trPr>
        <w:tc>
          <w:tcPr>
            <w:tcW w:w="41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4</w:t>
            </w:r>
          </w:p>
        </w:tc>
        <w:tc>
          <w:tcPr>
            <w:tcW w:w="1250" w:type="dxa"/>
            <w:vAlign w:val="center"/>
          </w:tcPr>
          <w:p>
            <w:pPr>
              <w:jc w:val="center"/>
            </w:pPr>
            <w:r>
              <w:rPr>
                <w:rFonts w:ascii="Times New Roman" w:hAnsi="Times New Roman"/>
              </w:rPr>
              <w:t>Branched chain amino acids exacerbate myocardial ischemia/reperfusion vulnerability via enhancing GCN2/ATF6/PPAR-α pathway-dependent fatty acid oxidation</w:t>
            </w:r>
          </w:p>
        </w:tc>
        <w:tc>
          <w:tcPr>
            <w:tcW w:w="708"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sz w:val="21"/>
                <w:szCs w:val="21"/>
              </w:rPr>
              <w:t>Theranostics</w:t>
            </w:r>
          </w:p>
        </w:tc>
        <w:tc>
          <w:tcPr>
            <w:tcW w:w="141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Li Yueyang, Xiong Zhenyu, Yan Wenjun, Gao Erhe, Cheng Hexiang, Wu Guiling, Liu Yi , Zhang Ling, Li Congye, Wang Shan, Fan Miaomiao, Zhao Huishou, Zhang Fuyang, Tao Ling</w:t>
            </w:r>
          </w:p>
        </w:tc>
        <w:tc>
          <w:tcPr>
            <w:tcW w:w="70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Theranostics. 2020;10(12):5623-5640.</w:t>
            </w:r>
          </w:p>
        </w:tc>
        <w:tc>
          <w:tcPr>
            <w:tcW w:w="567" w:type="dxa"/>
            <w:vAlign w:val="center"/>
          </w:tcPr>
          <w:p>
            <w:pPr>
              <w:rPr>
                <w:szCs w:val="21"/>
              </w:rPr>
            </w:pPr>
            <w:r>
              <w:rPr>
                <w:rFonts w:hint="eastAsia"/>
                <w:szCs w:val="21"/>
              </w:rPr>
              <w:t>2</w:t>
            </w:r>
            <w:r>
              <w:rPr>
                <w:szCs w:val="21"/>
              </w:rPr>
              <w:t>020</w:t>
            </w:r>
            <w:r>
              <w:rPr>
                <w:rFonts w:hint="eastAsia"/>
                <w:szCs w:val="21"/>
              </w:rPr>
              <w:t>年</w:t>
            </w:r>
            <w:r>
              <w:rPr>
                <w:szCs w:val="21"/>
              </w:rPr>
              <w:t>4</w:t>
            </w:r>
            <w:r>
              <w:rPr>
                <w:rFonts w:hint="eastAsia"/>
                <w:szCs w:val="21"/>
              </w:rPr>
              <w:t>月2</w:t>
            </w:r>
            <w:r>
              <w:rPr>
                <w:szCs w:val="21"/>
              </w:rPr>
              <w:t>7</w:t>
            </w:r>
            <w:r>
              <w:rPr>
                <w:rFonts w:hint="eastAsia"/>
                <w:szCs w:val="21"/>
              </w:rPr>
              <w:t>日</w:t>
            </w:r>
          </w:p>
        </w:tc>
        <w:tc>
          <w:tcPr>
            <w:tcW w:w="56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Tao Ling</w:t>
            </w:r>
            <w:r>
              <w:rPr>
                <w:rFonts w:hint="eastAsia" w:ascii="Times New Roman"/>
                <w:sz w:val="21"/>
                <w:szCs w:val="21"/>
              </w:rPr>
              <w:t>，</w:t>
            </w:r>
            <w:r>
              <w:rPr>
                <w:rFonts w:ascii="Times New Roman"/>
                <w:sz w:val="21"/>
                <w:szCs w:val="21"/>
              </w:rPr>
              <w:t>Zhang Fuyang</w:t>
            </w:r>
          </w:p>
        </w:tc>
        <w:tc>
          <w:tcPr>
            <w:tcW w:w="70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Li Yueyang, Xiong Zhenyu</w:t>
            </w:r>
          </w:p>
        </w:tc>
        <w:tc>
          <w:tcPr>
            <w:tcW w:w="788"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李越洋，熊振宇，闫文俊，程何祥，武桂铃，王姗，樊苗苗，赵会寿，刘毅，张玲，李聪叶，张富洋，陶凌</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19</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SCI（科学引文索引）</w:t>
            </w:r>
          </w:p>
        </w:tc>
        <w:tc>
          <w:tcPr>
            <w:tcW w:w="67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98" w:hRule="exact"/>
        </w:trPr>
        <w:tc>
          <w:tcPr>
            <w:tcW w:w="418"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5</w:t>
            </w:r>
          </w:p>
        </w:tc>
        <w:tc>
          <w:tcPr>
            <w:tcW w:w="1250" w:type="dxa"/>
            <w:vAlign w:val="center"/>
          </w:tcPr>
          <w:p>
            <w:pPr>
              <w:jc w:val="center"/>
              <w:rPr>
                <w:rFonts w:ascii="Times New Roman" w:hAnsi="Times New Roman"/>
              </w:rPr>
            </w:pPr>
            <w:r>
              <w:rPr>
                <w:rFonts w:ascii="Times New Roman" w:hAnsi="Times New Roman"/>
              </w:rPr>
              <w:t>N-Cadherin Overexpression Mobilizes the Protective Effects of Mesenchymal Stromal Cells Against Ischemic Heart Injury Through a β-Catenin-Dependent Manner</w:t>
            </w:r>
          </w:p>
        </w:tc>
        <w:tc>
          <w:tcPr>
            <w:tcW w:w="708" w:type="dxa"/>
            <w:vAlign w:val="center"/>
          </w:tcPr>
          <w:p>
            <w:pPr>
              <w:pStyle w:val="3"/>
              <w:adjustRightInd w:val="0"/>
              <w:spacing w:after="50" w:line="240" w:lineRule="auto"/>
              <w:ind w:firstLine="0" w:firstLineChars="0"/>
              <w:outlineLvl w:val="1"/>
              <w:rPr>
                <w:rFonts w:ascii="Times New Roman"/>
                <w:sz w:val="21"/>
                <w:szCs w:val="21"/>
              </w:rPr>
            </w:pPr>
            <w:r>
              <w:rPr>
                <w:rFonts w:ascii="Times New Roman"/>
                <w:sz w:val="21"/>
                <w:szCs w:val="21"/>
              </w:rPr>
              <w:t>C</w:t>
            </w:r>
            <w:r>
              <w:rPr>
                <w:rFonts w:hint="eastAsia" w:ascii="Times New Roman"/>
                <w:sz w:val="21"/>
                <w:szCs w:val="21"/>
              </w:rPr>
              <w:t>irculation</w:t>
            </w:r>
            <w:r>
              <w:rPr>
                <w:rFonts w:ascii="Times New Roman"/>
                <w:sz w:val="21"/>
                <w:szCs w:val="21"/>
              </w:rPr>
              <w:t xml:space="preserve"> Research</w:t>
            </w:r>
          </w:p>
        </w:tc>
        <w:tc>
          <w:tcPr>
            <w:tcW w:w="1418"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Y</w:t>
            </w:r>
            <w:r>
              <w:rPr>
                <w:rFonts w:ascii="Times New Roman"/>
                <w:sz w:val="21"/>
                <w:szCs w:val="21"/>
              </w:rPr>
              <w:t>an Wenjun</w:t>
            </w:r>
            <w:r>
              <w:rPr>
                <w:rFonts w:hint="eastAsia" w:ascii="Times New Roman"/>
                <w:sz w:val="21"/>
                <w:szCs w:val="21"/>
              </w:rPr>
              <w:t>，L</w:t>
            </w:r>
            <w:r>
              <w:rPr>
                <w:rFonts w:ascii="Times New Roman"/>
                <w:sz w:val="21"/>
                <w:szCs w:val="21"/>
              </w:rPr>
              <w:t>in Chen</w:t>
            </w:r>
            <w:r>
              <w:rPr>
                <w:rFonts w:hint="eastAsia" w:ascii="Times New Roman"/>
                <w:sz w:val="21"/>
                <w:szCs w:val="21"/>
              </w:rPr>
              <w:t>，G</w:t>
            </w:r>
            <w:r>
              <w:rPr>
                <w:rFonts w:ascii="Times New Roman"/>
                <w:sz w:val="21"/>
                <w:szCs w:val="21"/>
              </w:rPr>
              <w:t>uo Yongzhen</w:t>
            </w:r>
            <w:r>
              <w:rPr>
                <w:rFonts w:hint="eastAsia" w:ascii="Times New Roman"/>
                <w:sz w:val="21"/>
                <w:szCs w:val="21"/>
              </w:rPr>
              <w:t>，C</w:t>
            </w:r>
            <w:r>
              <w:rPr>
                <w:rFonts w:ascii="Times New Roman"/>
                <w:sz w:val="21"/>
                <w:szCs w:val="21"/>
              </w:rPr>
              <w:t>hen Youhu</w:t>
            </w:r>
            <w:r>
              <w:rPr>
                <w:rFonts w:hint="eastAsia" w:ascii="Times New Roman"/>
                <w:sz w:val="21"/>
                <w:szCs w:val="21"/>
              </w:rPr>
              <w:t>，D</w:t>
            </w:r>
            <w:r>
              <w:rPr>
                <w:rFonts w:ascii="Times New Roman"/>
                <w:sz w:val="21"/>
                <w:szCs w:val="21"/>
              </w:rPr>
              <w:t>u Yunhui</w:t>
            </w:r>
            <w:r>
              <w:rPr>
                <w:rFonts w:hint="eastAsia" w:ascii="Times New Roman"/>
                <w:sz w:val="21"/>
                <w:szCs w:val="21"/>
              </w:rPr>
              <w:t>，L</w:t>
            </w:r>
            <w:r>
              <w:rPr>
                <w:rFonts w:ascii="Times New Roman"/>
                <w:sz w:val="21"/>
                <w:szCs w:val="21"/>
              </w:rPr>
              <w:t xml:space="preserve">au </w:t>
            </w:r>
            <w:r>
              <w:rPr>
                <w:rFonts w:hint="eastAsia" w:ascii="Times New Roman"/>
                <w:sz w:val="21"/>
                <w:szCs w:val="21"/>
              </w:rPr>
              <w:t>Wayne</w:t>
            </w:r>
            <w:r>
              <w:rPr>
                <w:rFonts w:ascii="Times New Roman"/>
                <w:sz w:val="21"/>
                <w:szCs w:val="21"/>
              </w:rPr>
              <w:t xml:space="preserve"> Bond</w:t>
            </w:r>
            <w:r>
              <w:rPr>
                <w:rFonts w:hint="eastAsia" w:ascii="Times New Roman"/>
                <w:sz w:val="21"/>
                <w:szCs w:val="21"/>
              </w:rPr>
              <w:t>，X</w:t>
            </w:r>
            <w:r>
              <w:rPr>
                <w:rFonts w:ascii="Times New Roman"/>
                <w:sz w:val="21"/>
                <w:szCs w:val="21"/>
              </w:rPr>
              <w:t>ia Yunlong</w:t>
            </w:r>
            <w:r>
              <w:rPr>
                <w:rFonts w:hint="eastAsia" w:ascii="Times New Roman"/>
                <w:sz w:val="21"/>
                <w:szCs w:val="21"/>
              </w:rPr>
              <w:t>，Z</w:t>
            </w:r>
            <w:r>
              <w:rPr>
                <w:rFonts w:ascii="Times New Roman"/>
                <w:sz w:val="21"/>
                <w:szCs w:val="21"/>
              </w:rPr>
              <w:t>hang Fuyang</w:t>
            </w:r>
            <w:r>
              <w:rPr>
                <w:rFonts w:hint="eastAsia" w:ascii="Times New Roman"/>
                <w:sz w:val="21"/>
                <w:szCs w:val="21"/>
              </w:rPr>
              <w:t>，S</w:t>
            </w:r>
            <w:r>
              <w:rPr>
                <w:rFonts w:ascii="Times New Roman"/>
                <w:sz w:val="21"/>
                <w:szCs w:val="21"/>
              </w:rPr>
              <w:t>u Renzhi</w:t>
            </w:r>
            <w:r>
              <w:rPr>
                <w:rFonts w:hint="eastAsia" w:ascii="Times New Roman"/>
                <w:sz w:val="21"/>
                <w:szCs w:val="21"/>
              </w:rPr>
              <w:t>，G</w:t>
            </w:r>
            <w:r>
              <w:rPr>
                <w:rFonts w:ascii="Times New Roman"/>
                <w:sz w:val="21"/>
                <w:szCs w:val="21"/>
              </w:rPr>
              <w:t>ao Erhe</w:t>
            </w:r>
            <w:r>
              <w:rPr>
                <w:rFonts w:hint="eastAsia" w:ascii="Times New Roman"/>
                <w:sz w:val="21"/>
                <w:szCs w:val="21"/>
              </w:rPr>
              <w:t>，Wang</w:t>
            </w:r>
            <w:r>
              <w:rPr>
                <w:rFonts w:ascii="Times New Roman"/>
                <w:sz w:val="21"/>
                <w:szCs w:val="21"/>
              </w:rPr>
              <w:t xml:space="preserve"> Yajing</w:t>
            </w:r>
            <w:r>
              <w:rPr>
                <w:rFonts w:hint="eastAsia" w:ascii="Times New Roman"/>
                <w:sz w:val="21"/>
                <w:szCs w:val="21"/>
              </w:rPr>
              <w:t>，L</w:t>
            </w:r>
            <w:r>
              <w:rPr>
                <w:rFonts w:ascii="Times New Roman"/>
                <w:sz w:val="21"/>
                <w:szCs w:val="21"/>
              </w:rPr>
              <w:t>i Congye</w:t>
            </w:r>
            <w:r>
              <w:rPr>
                <w:rFonts w:hint="eastAsia" w:ascii="Times New Roman"/>
                <w:sz w:val="21"/>
                <w:szCs w:val="21"/>
              </w:rPr>
              <w:t>，L</w:t>
            </w:r>
            <w:r>
              <w:rPr>
                <w:rFonts w:ascii="Times New Roman"/>
                <w:sz w:val="21"/>
                <w:szCs w:val="21"/>
              </w:rPr>
              <w:t>iu Rui</w:t>
            </w:r>
            <w:r>
              <w:rPr>
                <w:rFonts w:hint="eastAsia" w:ascii="Times New Roman"/>
                <w:sz w:val="21"/>
                <w:szCs w:val="21"/>
              </w:rPr>
              <w:t>，Xinliang</w:t>
            </w:r>
            <w:r>
              <w:rPr>
                <w:rFonts w:ascii="Times New Roman"/>
                <w:sz w:val="21"/>
                <w:szCs w:val="21"/>
              </w:rPr>
              <w:t xml:space="preserve"> Ma</w:t>
            </w:r>
            <w:r>
              <w:rPr>
                <w:rFonts w:hint="eastAsia" w:ascii="Times New Roman"/>
                <w:sz w:val="21"/>
                <w:szCs w:val="21"/>
              </w:rPr>
              <w:t>，T</w:t>
            </w:r>
            <w:r>
              <w:rPr>
                <w:rFonts w:ascii="Times New Roman"/>
                <w:sz w:val="21"/>
                <w:szCs w:val="21"/>
              </w:rPr>
              <w:t>ao Ling</w:t>
            </w:r>
          </w:p>
        </w:tc>
        <w:tc>
          <w:tcPr>
            <w:tcW w:w="709"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2020;126(7):857-874.</w:t>
            </w:r>
          </w:p>
        </w:tc>
        <w:tc>
          <w:tcPr>
            <w:tcW w:w="567" w:type="dxa"/>
            <w:vAlign w:val="center"/>
          </w:tcPr>
          <w:p>
            <w:pPr>
              <w:rPr>
                <w:szCs w:val="21"/>
              </w:rPr>
            </w:pPr>
            <w:r>
              <w:rPr>
                <w:rFonts w:hint="eastAsia"/>
                <w:szCs w:val="21"/>
              </w:rPr>
              <w:t>2</w:t>
            </w:r>
            <w:r>
              <w:rPr>
                <w:szCs w:val="21"/>
              </w:rPr>
              <w:t>020</w:t>
            </w:r>
            <w:r>
              <w:rPr>
                <w:rFonts w:hint="eastAsia"/>
                <w:szCs w:val="21"/>
              </w:rPr>
              <w:t>年2月2</w:t>
            </w:r>
            <w:r>
              <w:rPr>
                <w:szCs w:val="21"/>
              </w:rPr>
              <w:t>1</w:t>
            </w:r>
            <w:r>
              <w:rPr>
                <w:rFonts w:hint="eastAsia"/>
                <w:szCs w:val="21"/>
              </w:rPr>
              <w:t>日</w:t>
            </w:r>
          </w:p>
        </w:tc>
        <w:tc>
          <w:tcPr>
            <w:tcW w:w="567"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T</w:t>
            </w:r>
            <w:r>
              <w:rPr>
                <w:rFonts w:ascii="Times New Roman"/>
                <w:sz w:val="21"/>
                <w:szCs w:val="21"/>
              </w:rPr>
              <w:t>ao Ling</w:t>
            </w:r>
            <w:r>
              <w:rPr>
                <w:rFonts w:hint="eastAsia" w:ascii="Times New Roman"/>
                <w:sz w:val="21"/>
                <w:szCs w:val="21"/>
              </w:rPr>
              <w:t>，X</w:t>
            </w:r>
            <w:r>
              <w:rPr>
                <w:rFonts w:ascii="Times New Roman"/>
                <w:sz w:val="21"/>
                <w:szCs w:val="21"/>
              </w:rPr>
              <w:t>inliang Ma</w:t>
            </w:r>
          </w:p>
        </w:tc>
        <w:tc>
          <w:tcPr>
            <w:tcW w:w="708"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Y</w:t>
            </w:r>
            <w:r>
              <w:rPr>
                <w:rFonts w:ascii="Times New Roman"/>
                <w:sz w:val="21"/>
                <w:szCs w:val="21"/>
              </w:rPr>
              <w:t>an Wenjun</w:t>
            </w:r>
            <w:r>
              <w:rPr>
                <w:rFonts w:hint="eastAsia" w:ascii="Times New Roman"/>
                <w:sz w:val="21"/>
                <w:szCs w:val="21"/>
              </w:rPr>
              <w:t>，L</w:t>
            </w:r>
            <w:r>
              <w:rPr>
                <w:rFonts w:ascii="Times New Roman"/>
                <w:sz w:val="21"/>
                <w:szCs w:val="21"/>
              </w:rPr>
              <w:t>in Chen</w:t>
            </w:r>
            <w:r>
              <w:rPr>
                <w:rFonts w:hint="eastAsia" w:ascii="Times New Roman"/>
                <w:sz w:val="21"/>
                <w:szCs w:val="21"/>
              </w:rPr>
              <w:t>，G</w:t>
            </w:r>
            <w:r>
              <w:rPr>
                <w:rFonts w:ascii="Times New Roman"/>
                <w:sz w:val="21"/>
                <w:szCs w:val="21"/>
              </w:rPr>
              <w:t>uo Yongzhen</w:t>
            </w:r>
          </w:p>
        </w:tc>
        <w:tc>
          <w:tcPr>
            <w:tcW w:w="788"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闫文俊，林晨，郭永珍，陈有虎，杜芸辉，夏云龙，张富洋，苏任知，李聪叶，刘瑞，陶凌</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24</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SCI（科学引文索引）</w:t>
            </w:r>
          </w:p>
        </w:tc>
        <w:tc>
          <w:tcPr>
            <w:tcW w:w="677" w:type="dxa"/>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是</w:t>
            </w:r>
          </w:p>
        </w:tc>
      </w:tr>
      <w:tr>
        <w:tblPrEx>
          <w:tblBorders>
            <w:top w:val="single" w:color="auto" w:sz="8" w:space="0"/>
            <w:left w:val="single" w:color="auto" w:sz="8" w:space="0"/>
            <w:bottom w:val="single" w:color="auto" w:sz="4"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7133" w:type="dxa"/>
            <w:gridSpan w:val="9"/>
            <w:vAlign w:val="center"/>
          </w:tcPr>
          <w:p>
            <w:pPr>
              <w:pStyle w:val="3"/>
              <w:adjustRightInd w:val="0"/>
              <w:spacing w:after="50" w:line="240" w:lineRule="auto"/>
              <w:ind w:firstLine="0" w:firstLineChars="0"/>
              <w:jc w:val="center"/>
              <w:outlineLvl w:val="1"/>
              <w:rPr>
                <w:rFonts w:ascii="Times New Roman"/>
                <w:sz w:val="21"/>
                <w:szCs w:val="21"/>
              </w:rPr>
            </w:pPr>
            <w:r>
              <w:rPr>
                <w:rFonts w:ascii="Times New Roman"/>
                <w:sz w:val="21"/>
                <w:szCs w:val="21"/>
              </w:rPr>
              <w:t>合  计</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r>
              <w:rPr>
                <w:rFonts w:hint="eastAsia" w:ascii="Times New Roman"/>
                <w:sz w:val="21"/>
                <w:szCs w:val="21"/>
              </w:rPr>
              <w:t>3</w:t>
            </w:r>
            <w:r>
              <w:rPr>
                <w:rFonts w:ascii="Times New Roman"/>
                <w:sz w:val="21"/>
                <w:szCs w:val="21"/>
              </w:rPr>
              <w:t>42</w:t>
            </w:r>
          </w:p>
        </w:tc>
        <w:tc>
          <w:tcPr>
            <w:tcW w:w="533" w:type="dxa"/>
            <w:vAlign w:val="center"/>
          </w:tcPr>
          <w:p>
            <w:pPr>
              <w:pStyle w:val="3"/>
              <w:adjustRightInd w:val="0"/>
              <w:spacing w:after="50" w:line="240" w:lineRule="auto"/>
              <w:ind w:firstLine="0" w:firstLineChars="0"/>
              <w:jc w:val="center"/>
              <w:outlineLvl w:val="1"/>
              <w:rPr>
                <w:rFonts w:ascii="Times New Roman"/>
                <w:sz w:val="21"/>
                <w:szCs w:val="21"/>
              </w:rPr>
            </w:pPr>
          </w:p>
        </w:tc>
        <w:tc>
          <w:tcPr>
            <w:tcW w:w="677" w:type="dxa"/>
            <w:vAlign w:val="center"/>
          </w:tcPr>
          <w:p>
            <w:pPr>
              <w:pStyle w:val="3"/>
              <w:adjustRightInd w:val="0"/>
              <w:spacing w:after="50" w:line="240" w:lineRule="auto"/>
              <w:ind w:firstLine="0" w:firstLineChars="0"/>
              <w:jc w:val="center"/>
              <w:outlineLvl w:val="1"/>
              <w:rPr>
                <w:rFonts w:ascii="Times New Roman"/>
                <w:sz w:val="21"/>
                <w:szCs w:val="21"/>
              </w:rPr>
            </w:pPr>
          </w:p>
        </w:tc>
      </w:tr>
    </w:tbl>
    <w:p>
      <w:pPr>
        <w:pStyle w:val="9"/>
        <w:ind w:left="420" w:firstLine="0" w:firstLineChars="0"/>
        <w:rPr>
          <w:rFonts w:ascii="仿宋_GB2312" w:eastAsia="仿宋_GB2312"/>
          <w:bCs/>
          <w:spacing w:val="2"/>
          <w:sz w:val="24"/>
        </w:rPr>
      </w:pPr>
    </w:p>
    <w:p>
      <w:pPr>
        <w:pStyle w:val="9"/>
        <w:ind w:left="420" w:firstLine="0" w:firstLineChars="0"/>
        <w:rPr>
          <w:rFonts w:hint="eastAsia" w:ascii="仿宋_GB2312" w:eastAsia="仿宋_GB2312"/>
          <w:bCs/>
          <w:spacing w:val="2"/>
          <w:sz w:val="24"/>
        </w:rPr>
      </w:pPr>
    </w:p>
    <w:p>
      <w:pPr>
        <w:rPr>
          <w:rFonts w:ascii="仿宋_GB2312" w:eastAsia="仿宋_GB2312"/>
          <w:sz w:val="32"/>
        </w:rPr>
      </w:pPr>
      <w:r>
        <w:rPr>
          <w:rFonts w:hint="eastAsia" w:ascii="仿宋_GB2312" w:eastAsia="仿宋_GB2312"/>
          <w:sz w:val="32"/>
        </w:rPr>
        <w:t>九、完成人合作关系说明</w:t>
      </w:r>
    </w:p>
    <w:p>
      <w:pPr>
        <w:pStyle w:val="3"/>
        <w:spacing w:line="276" w:lineRule="auto"/>
        <w:ind w:firstLine="564" w:firstLineChars="0"/>
        <w:jc w:val="left"/>
        <w:rPr>
          <w:rFonts w:ascii="Times New Roman" w:eastAsia="仿宋" w:cs="Times New Roman"/>
          <w:szCs w:val="24"/>
        </w:rPr>
      </w:pPr>
      <w:r>
        <w:rPr>
          <w:rFonts w:ascii="Times New Roman" w:eastAsia="仿宋" w:cs="Times New Roman"/>
          <w:bCs/>
          <w:szCs w:val="18"/>
        </w:rPr>
        <w:t>主要完成人1（陶凌）是主要完成人2（闫文俊）的博士课题指导老师，合作形式包括：</w:t>
      </w:r>
      <w:r>
        <w:rPr>
          <w:rFonts w:ascii="Times New Roman" w:eastAsia="仿宋" w:cs="Times New Roman"/>
          <w:szCs w:val="24"/>
        </w:rPr>
        <w:t>论文合著、</w:t>
      </w:r>
      <w:r>
        <w:rPr>
          <w:rFonts w:ascii="Times New Roman" w:eastAsia="仿宋" w:cs="Times New Roman"/>
        </w:rPr>
        <w:t>共同立项、</w:t>
      </w:r>
      <w:r>
        <w:rPr>
          <w:rFonts w:ascii="Times New Roman" w:eastAsia="仿宋" w:cs="Times New Roman"/>
          <w:szCs w:val="24"/>
        </w:rPr>
        <w:t>共同授权专利。</w:t>
      </w:r>
    </w:p>
    <w:p>
      <w:pPr>
        <w:pStyle w:val="3"/>
        <w:spacing w:line="276" w:lineRule="auto"/>
        <w:ind w:firstLine="564" w:firstLineChars="0"/>
        <w:jc w:val="left"/>
        <w:rPr>
          <w:rFonts w:ascii="Times New Roman" w:eastAsia="仿宋" w:cs="Times New Roman"/>
          <w:szCs w:val="24"/>
        </w:rPr>
      </w:pPr>
      <w:r>
        <w:rPr>
          <w:rFonts w:ascii="Times New Roman" w:eastAsia="仿宋" w:cs="Times New Roman"/>
          <w:bCs/>
          <w:szCs w:val="18"/>
        </w:rPr>
        <w:t>主要完成人1（陶凌）是主要完成人4（张富洋）的博士研究生导师，合作形式包括：</w:t>
      </w:r>
      <w:r>
        <w:rPr>
          <w:rFonts w:ascii="Times New Roman" w:eastAsia="仿宋" w:cs="Times New Roman"/>
          <w:szCs w:val="24"/>
        </w:rPr>
        <w:t>论文合著、</w:t>
      </w:r>
      <w:r>
        <w:rPr>
          <w:rFonts w:ascii="Times New Roman" w:eastAsia="仿宋" w:cs="Times New Roman"/>
        </w:rPr>
        <w:t>共同立项</w:t>
      </w:r>
      <w:r>
        <w:rPr>
          <w:rFonts w:ascii="Times New Roman" w:eastAsia="仿宋" w:cs="Times New Roman"/>
          <w:szCs w:val="24"/>
        </w:rPr>
        <w:t>。</w:t>
      </w:r>
    </w:p>
    <w:p>
      <w:pPr>
        <w:pStyle w:val="3"/>
        <w:spacing w:line="276" w:lineRule="auto"/>
        <w:ind w:firstLine="564" w:firstLineChars="0"/>
        <w:jc w:val="left"/>
        <w:rPr>
          <w:rFonts w:ascii="Times New Roman" w:eastAsia="仿宋" w:cs="Times New Roman"/>
          <w:bCs/>
          <w:szCs w:val="18"/>
        </w:rPr>
      </w:pPr>
      <w:r>
        <w:rPr>
          <w:rFonts w:ascii="Times New Roman" w:eastAsia="仿宋" w:cs="Times New Roman"/>
          <w:bCs/>
          <w:szCs w:val="18"/>
        </w:rPr>
        <w:t>主要完成人1（陶凌）是主要完成人5（廉坤）的博士课题指导老师，合作形式包括：</w:t>
      </w:r>
      <w:r>
        <w:rPr>
          <w:rFonts w:ascii="Times New Roman" w:eastAsia="仿宋" w:cs="Times New Roman"/>
          <w:szCs w:val="24"/>
        </w:rPr>
        <w:t>论文合著、</w:t>
      </w:r>
      <w:r>
        <w:rPr>
          <w:rFonts w:ascii="Times New Roman" w:eastAsia="仿宋" w:cs="Times New Roman"/>
        </w:rPr>
        <w:t>共同立项、</w:t>
      </w:r>
      <w:r>
        <w:rPr>
          <w:rFonts w:ascii="Times New Roman" w:eastAsia="仿宋" w:cs="Times New Roman"/>
          <w:szCs w:val="24"/>
        </w:rPr>
        <w:t>共同授权专利。</w:t>
      </w:r>
    </w:p>
    <w:p>
      <w:pPr>
        <w:pStyle w:val="3"/>
        <w:spacing w:line="276" w:lineRule="auto"/>
        <w:ind w:firstLine="564" w:firstLineChars="0"/>
        <w:jc w:val="left"/>
        <w:rPr>
          <w:rFonts w:ascii="Times New Roman" w:eastAsia="仿宋" w:cs="Times New Roman"/>
          <w:bCs/>
          <w:szCs w:val="18"/>
        </w:rPr>
      </w:pPr>
      <w:r>
        <w:rPr>
          <w:rFonts w:ascii="Times New Roman" w:eastAsia="仿宋" w:cs="Times New Roman"/>
          <w:bCs/>
          <w:szCs w:val="18"/>
        </w:rPr>
        <w:t>主要完成人6（王姗）是主要完成人1（陶凌）课题组中的研究骨干，合作形式包括：</w:t>
      </w:r>
      <w:r>
        <w:rPr>
          <w:rFonts w:ascii="Times New Roman" w:eastAsia="仿宋" w:cs="Times New Roman"/>
          <w:szCs w:val="24"/>
        </w:rPr>
        <w:t>论文合著、</w:t>
      </w:r>
      <w:r>
        <w:rPr>
          <w:rFonts w:ascii="Times New Roman" w:eastAsia="仿宋" w:cs="Times New Roman"/>
        </w:rPr>
        <w:t>共同立项</w:t>
      </w:r>
      <w:r>
        <w:rPr>
          <w:rFonts w:ascii="Times New Roman" w:eastAsia="仿宋" w:cs="Times New Roman"/>
          <w:szCs w:val="24"/>
        </w:rPr>
        <w:t>。</w:t>
      </w:r>
    </w:p>
    <w:p>
      <w:pPr>
        <w:pStyle w:val="3"/>
        <w:spacing w:line="276" w:lineRule="auto"/>
        <w:ind w:firstLine="564" w:firstLineChars="0"/>
        <w:jc w:val="left"/>
        <w:rPr>
          <w:rFonts w:ascii="Times New Roman" w:eastAsia="仿宋" w:cs="Times New Roman"/>
          <w:b/>
          <w:szCs w:val="18"/>
        </w:rPr>
      </w:pPr>
      <w:r>
        <w:rPr>
          <w:rFonts w:ascii="Times New Roman" w:eastAsia="仿宋" w:cs="Times New Roman"/>
          <w:bCs/>
          <w:szCs w:val="18"/>
        </w:rPr>
        <w:t>主要完成人3（孙海鹏）和主要完成人5（廉坤）开展了合作课题，共同发表文章。</w:t>
      </w:r>
    </w:p>
    <w:p>
      <w:pPr>
        <w:pStyle w:val="9"/>
        <w:spacing w:line="276" w:lineRule="auto"/>
        <w:ind w:left="420" w:firstLine="0" w:firstLineChars="0"/>
        <w:rPr>
          <w:rFonts w:ascii="Times New Roman" w:hAnsi="Times New Roman" w:eastAsia="仿宋" w:cs="Times New Roman"/>
          <w:bCs/>
          <w:spacing w:val="2"/>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4MjlhNWY4YTJlZGRjMjk2MDJmNThkMWNlZWViOGIifQ=="/>
  </w:docVars>
  <w:rsids>
    <w:rsidRoot w:val="0063432F"/>
    <w:rsid w:val="00030743"/>
    <w:rsid w:val="000A4560"/>
    <w:rsid w:val="000C0082"/>
    <w:rsid w:val="0014707E"/>
    <w:rsid w:val="001B38B0"/>
    <w:rsid w:val="001D0354"/>
    <w:rsid w:val="00250DF8"/>
    <w:rsid w:val="0035314A"/>
    <w:rsid w:val="00364877"/>
    <w:rsid w:val="004521BD"/>
    <w:rsid w:val="004D4A0B"/>
    <w:rsid w:val="005A2A65"/>
    <w:rsid w:val="00617846"/>
    <w:rsid w:val="0063432F"/>
    <w:rsid w:val="006C3332"/>
    <w:rsid w:val="00731D7D"/>
    <w:rsid w:val="00766718"/>
    <w:rsid w:val="007D228F"/>
    <w:rsid w:val="00847054"/>
    <w:rsid w:val="00847205"/>
    <w:rsid w:val="00A15A52"/>
    <w:rsid w:val="00B373B9"/>
    <w:rsid w:val="00B521C5"/>
    <w:rsid w:val="00C117E0"/>
    <w:rsid w:val="00CA42B8"/>
    <w:rsid w:val="00CC3A5C"/>
    <w:rsid w:val="00CE7092"/>
    <w:rsid w:val="00D23B6C"/>
    <w:rsid w:val="00E33C00"/>
    <w:rsid w:val="00E8564E"/>
    <w:rsid w:val="450514BA"/>
    <w:rsid w:val="63DA2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spacing w:beforeLines="100" w:afterLines="50"/>
      <w:jc w:val="center"/>
      <w:outlineLvl w:val="0"/>
    </w:pPr>
    <w:rPr>
      <w:rFonts w:ascii="Times New Roman" w:hAnsi="Times New Roman" w:eastAsia="黑体" w:cs="Times New Roman"/>
      <w:b/>
      <w:sz w:val="44"/>
      <w:szCs w:val="20"/>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Plain Text"/>
    <w:basedOn w:val="1"/>
    <w:link w:val="10"/>
    <w:qFormat/>
    <w:uiPriority w:val="0"/>
    <w:pPr>
      <w:spacing w:line="360" w:lineRule="auto"/>
      <w:ind w:firstLine="480" w:firstLineChars="200"/>
    </w:pPr>
    <w:rPr>
      <w:rFonts w:ascii="仿宋_GB2312" w:hAnsi="Times New Roman"/>
      <w:sz w:val="24"/>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9">
    <w:name w:val="List Paragraph"/>
    <w:basedOn w:val="1"/>
    <w:qFormat/>
    <w:uiPriority w:val="34"/>
    <w:pPr>
      <w:ind w:firstLine="420" w:firstLineChars="200"/>
    </w:pPr>
  </w:style>
  <w:style w:type="character" w:customStyle="1" w:styleId="10">
    <w:name w:val="纯文本 字符"/>
    <w:link w:val="3"/>
    <w:qFormat/>
    <w:uiPriority w:val="0"/>
    <w:rPr>
      <w:rFonts w:ascii="仿宋_GB2312" w:hAnsi="Times New Roman"/>
      <w:sz w:val="24"/>
    </w:rPr>
  </w:style>
  <w:style w:type="character" w:customStyle="1" w:styleId="11">
    <w:name w:val="纯文本 Char"/>
    <w:basedOn w:val="8"/>
    <w:semiHidden/>
    <w:qFormat/>
    <w:uiPriority w:val="99"/>
    <w:rPr>
      <w:rFonts w:ascii="宋体" w:hAnsi="Courier New" w:eastAsia="宋体" w:cs="Courier New"/>
      <w:szCs w:val="21"/>
    </w:rPr>
  </w:style>
  <w:style w:type="character" w:customStyle="1" w:styleId="12">
    <w:name w:val="页眉 字符"/>
    <w:basedOn w:val="8"/>
    <w:link w:val="5"/>
    <w:qFormat/>
    <w:uiPriority w:val="99"/>
    <w:rPr>
      <w:sz w:val="18"/>
      <w:szCs w:val="18"/>
    </w:rPr>
  </w:style>
  <w:style w:type="character" w:customStyle="1" w:styleId="13">
    <w:name w:val="页脚 字符"/>
    <w:basedOn w:val="8"/>
    <w:link w:val="4"/>
    <w:qFormat/>
    <w:uiPriority w:val="99"/>
    <w:rPr>
      <w:sz w:val="18"/>
      <w:szCs w:val="18"/>
    </w:rPr>
  </w:style>
  <w:style w:type="character" w:customStyle="1" w:styleId="14">
    <w:name w:val="标题 1 字符"/>
    <w:basedOn w:val="8"/>
    <w:link w:val="2"/>
    <w:qFormat/>
    <w:uiPriority w:val="0"/>
    <w:rPr>
      <w:rFonts w:ascii="Times New Roman" w:hAnsi="Times New Roman" w:eastAsia="黑体" w:cs="Times New Roman"/>
      <w:b/>
      <w:sz w:val="44"/>
      <w:szCs w:val="20"/>
    </w:rPr>
  </w:style>
  <w:style w:type="paragraph" w:customStyle="1" w:styleId="15">
    <w:name w:val="_Style 8"/>
    <w:basedOn w:val="1"/>
    <w:next w:val="1"/>
    <w:qFormat/>
    <w:uiPriority w:val="0"/>
    <w:pPr>
      <w:spacing w:line="360" w:lineRule="auto"/>
      <w:ind w:firstLine="480" w:firstLineChars="200"/>
    </w:pPr>
    <w:rPr>
      <w:rFonts w:ascii="仿宋_GB2312" w:hAnsi="Times New Roman" w:eastAsia="宋体" w:cs="Times New Roman"/>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Company</Company>
  <Pages>14</Pages>
  <Words>6860</Words>
  <Characters>10409</Characters>
  <Lines>79</Lines>
  <Paragraphs>22</Paragraphs>
  <TotalTime>55</TotalTime>
  <ScaleCrop>false</ScaleCrop>
  <LinksUpToDate>false</LinksUpToDate>
  <CharactersWithSpaces>10847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2020-05-19T12:19:00Z</dcterms:created>
  <dc:creator>NTKO</dc:creator>
  <cp:lastModifiedBy>陕西省卫生健康委员会</cp:lastModifiedBy>
  <dcterms:modified xsi:type="dcterms:W3CDTF">2022-07-01T01:09:49Z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02C61310B26F47F783EDB05F5AAC8146</vt:lpwstr>
  </property>
</Properties>
</file>